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default" w:ascii="Arial" w:hAnsi="Arial" w:eastAsia="黑体" w:cstheme="minorBidi"/>
          <w:bCs/>
          <w:sz w:val="84"/>
          <w:szCs w:val="24"/>
          <w:lang w:val="en-US" w:eastAsia="zh-CN" w:bidi="ar-SA"/>
        </w:rPr>
        <w:outlineLvl w:val="0"/>
      </w:pPr>
      <w:r/>
      <w:bookmarkStart w:id="0" w:name="_Toc3523"/>
      <w:r/>
      <w:bookmarkStart w:id="1" w:name="_Toc183693301"/>
      <w:r>
        <w:rPr>
          <w:rFonts w:hint="default" w:ascii="Arial" w:hAnsi="Arial" w:eastAsia="黑体" w:cstheme="minorBidi"/>
          <w:bCs/>
          <w:sz w:val="84"/>
          <w:szCs w:val="24"/>
          <w:lang w:val="en-US" w:eastAsia="zh-CN" w:bidi="ar-SA"/>
        </w:rPr>
        <w:t xml:space="preserve">封闭式框架协议采购</w:t>
      </w:r>
      <w:bookmarkEnd w:id="0"/>
      <w:r>
        <w:rPr>
          <w:rFonts w:hint="default" w:ascii="Arial" w:hAnsi="Arial" w:eastAsia="黑体" w:cstheme="minorBidi"/>
          <w:bCs/>
          <w:sz w:val="84"/>
          <w:szCs w:val="24"/>
          <w:lang w:val="en-US" w:eastAsia="zh-CN" w:bidi="ar-SA"/>
        </w:rPr>
        <w:t xml:space="preserve">　</w:t>
      </w:r>
      <w:r/>
    </w:p>
    <w:p>
      <w:pPr>
        <w:jc w:val="center"/>
        <w:spacing w:line="480" w:lineRule="auto"/>
        <w:rPr>
          <w:highlight w:val="none"/>
        </w:rPr>
        <w:outlineLvl w:val="0"/>
      </w:pPr>
      <w:r/>
      <w:bookmarkStart w:id="2" w:name="_Toc19243"/>
      <w:r>
        <w:rPr>
          <w:rFonts w:hint="default" w:ascii="Arial" w:hAnsi="Arial" w:eastAsia="黑体" w:cstheme="minorBidi"/>
          <w:bCs/>
          <w:sz w:val="84"/>
          <w:szCs w:val="24"/>
          <w:lang w:val="en-US" w:eastAsia="zh-CN" w:bidi="ar-SA"/>
        </w:rPr>
        <w:t xml:space="preserve">征集文件</w:t>
      </w:r>
      <w:bookmarkEnd w:id="2"/>
      <w:r/>
      <w:bookmarkStart w:id="244" w:name="_GoBack"/>
      <w:r/>
      <w:bookmarkEnd w:id="244"/>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rFonts w:hint="default" w:ascii="Arial" w:hAnsi="Arial" w:eastAsiaTheme="minorEastAsia" w:cstheme="minorBidi"/>
          <w:b/>
          <w:bCs/>
          <w:sz w:val="32"/>
          <w:szCs w:val="24"/>
          <w:lang w:val="en-US" w:eastAsia="zh-CN" w:bidi="ar-SA"/>
        </w:rPr>
        <w:outlineLvl w:val="0"/>
      </w:pPr>
      <w:r/>
      <w:bookmarkStart w:id="3" w:name="_Toc15564"/>
      <w:r>
        <w:rPr>
          <w:rFonts w:hint="default" w:ascii="Arial" w:hAnsi="Arial" w:eastAsiaTheme="minorEastAsia" w:cstheme="minorBidi"/>
          <w:b/>
          <w:bCs/>
          <w:sz w:val="32"/>
          <w:szCs w:val="24"/>
          <w:lang w:val="en-US" w:eastAsia="zh-CN" w:bidi="ar-SA"/>
        </w:rPr>
        <w:t xml:space="preserve">项目名称： 2026-2027年度东台市党政机关、事业单位和团体组织公务用车维修和保养服务框架协议采购项目</w:t>
      </w:r>
      <w:bookmarkEnd w:id="3"/>
      <w:r/>
      <w:r/>
    </w:p>
    <w:p>
      <w:pPr>
        <w:jc w:val="center"/>
        <w:spacing w:line="480" w:lineRule="auto"/>
        <w:rPr>
          <w:rFonts w:hint="default"/>
          <w:highlight w:val="none"/>
          <w:lang w:val="en-US"/>
        </w:rPr>
        <w:outlineLvl w:val="0"/>
      </w:pPr>
      <w:r/>
      <w:bookmarkStart w:id="4" w:name="_Toc25099"/>
      <w:r>
        <w:rPr>
          <w:rFonts w:hint="default" w:ascii="Arial" w:hAnsi="Arial" w:eastAsiaTheme="minorEastAsia" w:cstheme="minorBidi"/>
          <w:b/>
          <w:bCs/>
          <w:sz w:val="32"/>
          <w:szCs w:val="24"/>
          <w:lang w:val="en-US" w:eastAsia="zh-CN" w:bidi="ar-SA"/>
        </w:rPr>
        <w:t xml:space="preserve">项目编号：</w:t>
      </w:r>
      <w:r>
        <w:rPr>
          <w:rFonts w:hint="eastAsia" w:ascii="Arial" w:hAnsi="Arial" w:eastAsiaTheme="minorEastAsia" w:cstheme="minorBidi"/>
          <w:b/>
          <w:bCs/>
          <w:sz w:val="32"/>
          <w:szCs w:val="24"/>
          <w:lang w:val="en-US" w:eastAsia="zh-CN" w:bidi="ar-SA"/>
        </w:rPr>
        <w:t xml:space="preserve">JSZC-320981-JZCG-K2025-0029</w:t>
      </w:r>
      <w:bookmarkEnd w:id="4"/>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rFonts w:hint="eastAsia" w:ascii="宋体" w:hAnsi="宋体" w:cs="宋体" w:eastAsiaTheme="minorEastAsia"/>
          <w:b/>
          <w:sz w:val="32"/>
          <w:szCs w:val="24"/>
          <w:lang w:val="en-US" w:eastAsia="zh-CN" w:bidi="ar-SA"/>
        </w:rPr>
        <w:outlineLvl w:val="0"/>
      </w:pPr>
      <w:r/>
      <w:bookmarkStart w:id="5" w:name="_Toc23769"/>
      <w:r>
        <w:rPr>
          <w:rFonts w:hint="eastAsia" w:ascii="宋体" w:hAnsi="宋体" w:cs="宋体" w:eastAsiaTheme="minorEastAsia"/>
          <w:b/>
          <w:sz w:val="32"/>
          <w:szCs w:val="24"/>
          <w:lang w:val="en-US" w:eastAsia="zh-CN" w:bidi="ar-SA"/>
        </w:rPr>
        <w:t xml:space="preserve">东台市机关事务服务中心</w:t>
      </w:r>
      <w:bookmarkEnd w:id="5"/>
      <w:r/>
      <w:r/>
    </w:p>
    <w:p>
      <w:pPr>
        <w:jc w:val="center"/>
        <w:spacing w:line="480" w:lineRule="auto"/>
        <w:rPr>
          <w:rFonts w:hint="default"/>
          <w:highlight w:val="none"/>
          <w:lang w:val="en-US"/>
        </w:rPr>
        <w:outlineLvl w:val="0"/>
      </w:pPr>
      <w:r/>
      <w:bookmarkStart w:id="6" w:name="_Toc25085"/>
      <w:r>
        <w:rPr>
          <w:rFonts w:hint="eastAsia" w:ascii="宋体" w:hAnsi="宋体" w:cs="宋体" w:eastAsiaTheme="minorEastAsia"/>
          <w:b/>
          <w:sz w:val="32"/>
          <w:szCs w:val="24"/>
          <w:lang w:val="en-US" w:eastAsia="zh-CN" w:bidi="ar-SA"/>
        </w:rPr>
        <w:t xml:space="preserve">2025年11月19日</w:t>
      </w:r>
      <w:bookmarkEnd w:id="6"/>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rFonts w:ascii="仿宋" w:hAnsi="仿宋" w:eastAsia="仿宋"/>
          <w:b/>
          <w:sz w:val="36"/>
          <w:szCs w:val="36"/>
          <w:highlight w:val="none"/>
        </w:rPr>
        <w:sectPr>
          <w:footerReference w:type="default" r:id="rId9"/>
          <w:footnotePr/>
          <w:endnotePr/>
          <w:type w:val="nextPage"/>
          <w:pgSz w:w="11900" w:h="16838" w:orient="portrait"/>
          <w:pgMar w:top="1440" w:right="1080" w:bottom="1440" w:left="1080" w:header="0" w:footer="1191" w:gutter="0"/>
          <w:cols w:num="1" w:sep="0" w:space="0" w:equalWidth="1"/>
          <w:docGrid w:linePitch="360"/>
          <w:titlePg/>
        </w:sectPr>
        <w:outlineLvl w:val="0"/>
      </w:pPr>
      <w:r>
        <w:rPr>
          <w:rFonts w:ascii="仿宋" w:hAnsi="仿宋" w:eastAsia="仿宋"/>
          <w:b/>
          <w:sz w:val="36"/>
          <w:szCs w:val="36"/>
          <w:highlight w:val="none"/>
        </w:rPr>
      </w:r>
      <w:r/>
    </w:p>
    <w:p>
      <w:pPr>
        <w:jc w:val="center"/>
        <w:spacing w:line="480" w:lineRule="auto"/>
        <w:rPr>
          <w:rFonts w:hint="eastAsia" w:ascii="黑体" w:hAnsi="宋体" w:eastAsia="黑体" w:cs="黑体"/>
          <w:b/>
          <w:color w:val="auto"/>
          <w:sz w:val="44"/>
          <w:szCs w:val="44"/>
          <w:highlight w:val="none"/>
          <w:lang w:val="en-US" w:eastAsia="zh-CN" w:bidi="ar-SA"/>
        </w:rPr>
        <w:outlineLvl w:val="0"/>
      </w:pPr>
      <w:r/>
      <w:bookmarkStart w:id="7" w:name="_Toc4698"/>
      <w:r>
        <w:rPr>
          <w:rFonts w:hint="default" w:ascii="黑体" w:hAnsi="宋体" w:eastAsia="黑体" w:cs="黑体"/>
          <w:b/>
          <w:color w:val="auto"/>
          <w:sz w:val="44"/>
          <w:szCs w:val="44"/>
          <w:highlight w:val="none"/>
          <w:lang w:val="en-US" w:eastAsia="zh-CN" w:bidi="ar-SA"/>
        </w:rPr>
        <w:t xml:space="preserve">总  目  录</w:t>
      </w:r>
      <w:bookmarkEnd w:id="1"/>
      <w:r/>
      <w:bookmarkEnd w:id="7"/>
      <w:r/>
      <w:r/>
    </w:p>
    <w:p>
      <w:pPr>
        <w:rPr>
          <w:rFonts w:hint="eastAsia" w:ascii="宋体" w:hAnsi="宋体" w:eastAsia="宋体" w:cs="宋体"/>
          <w:sz w:val="44"/>
          <w:szCs w:val="44"/>
          <w:highlight w:val="none"/>
        </w:rPr>
      </w:pPr>
      <w:r>
        <w:rPr>
          <w:rFonts w:hint="eastAsia" w:ascii="宋体" w:hAnsi="宋体" w:eastAsia="宋体" w:cs="宋体"/>
          <w:sz w:val="44"/>
          <w:szCs w:val="44"/>
          <w:highlight w:val="none"/>
        </w:rPr>
      </w:r>
      <w:r/>
    </w:p>
    <w:sdt>
      <w:sdtPr>
        <w15:appearance w15:val="boundingBox"/>
        <w15:color w:val="dbdbdb"/>
        <w:id w:val="147465205"/>
        <w:docPartObj>
          <w:docPartGallery w:val="Table of Contents"/>
          <w:docPartUnique w:val="true"/>
        </w:docPartObj>
        <w:rPr>
          <w:rFonts w:hint="default" w:ascii="宋体" w:hAnsi="宋体" w:eastAsia="宋体" w:cs="Times New Roman"/>
          <w:sz w:val="21"/>
          <w:szCs w:val="21"/>
          <w:lang w:val="en-US" w:eastAsia="zh-CN" w:bidi="ar-SA"/>
        </w:rPr>
      </w:sdtPr>
      <w:sdtContent>
        <w:p>
          <w:pPr>
            <w:ind w:left="0" w:right="0" w:firstLine="0"/>
            <w:jc w:val="center"/>
            <w:spacing w:before="0" w:after="0" w:line="240" w:lineRule="auto"/>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"1-1" \h \u </w:instrText>
          </w:r>
          <w:r>
            <w:rPr>
              <w:rFonts w:hint="eastAsia" w:ascii="宋体" w:hAnsi="宋体" w:eastAsia="宋体" w:cs="宋体"/>
              <w:highlight w:val="none"/>
            </w:rPr>
            <w:fldChar w:fldCharType="separate"/>
          </w:r>
          <w:r/>
        </w:p>
        <w:p>
          <w:pPr>
            <w:pStyle w:val="751"/>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_Toc8347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第一章  参加征集活动的邀请</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_Toc8347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1</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51"/>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_Toc15295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第二章  供应商须知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_Toc15295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5</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51"/>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_Toc27851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第三章  框架协议文本</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_Toc27851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15</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51"/>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_Toc27993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第四章 </w:t>
          </w:r>
          <w:r>
            <w:rPr>
              <w:rFonts w:hint="eastAsia" w:ascii="黑体" w:hAnsi="黑体" w:eastAsia="黑体" w:cs="黑体"/>
              <w:bCs/>
              <w:sz w:val="30"/>
              <w:szCs w:val="30"/>
              <w:highlight w:val="none"/>
              <w:lang w:val="en-US" w:eastAsia="zh-CN"/>
            </w:rPr>
            <w:t xml:space="preserve"> </w:t>
          </w:r>
          <w:r>
            <w:rPr>
              <w:rFonts w:hint="eastAsia" w:ascii="黑体" w:hAnsi="黑体" w:eastAsia="黑体" w:cs="黑体"/>
              <w:bCs/>
              <w:sz w:val="30"/>
              <w:szCs w:val="30"/>
              <w:highlight w:val="none"/>
            </w:rPr>
            <w:t xml:space="preserve">采购需求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_Toc27993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23</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51"/>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_Toc15561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第五章  确定入围及成交供应商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_Toc15561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28</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51"/>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_Toc17320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第六章  响应文件格式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_Toc17320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31</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69"/>
            <w:rPr>
              <w:rFonts w:hint="eastAsia" w:ascii="宋体" w:hAnsi="宋体" w:eastAsia="宋体" w:cs="宋体"/>
              <w:caps/>
              <w:sz w:val="24"/>
              <w:szCs w:val="21"/>
              <w:highlight w:val="none"/>
              <w:lang w:val="en-US" w:eastAsia="zh-CN" w:bidi="ar-SA"/>
            </w:rPr>
          </w:pPr>
          <w:r>
            <w:rPr>
              <w:rFonts w:hint="eastAsia" w:ascii="宋体" w:hAnsi="宋体" w:eastAsia="宋体" w:cs="宋体"/>
              <w:highlight w:val="none"/>
            </w:rPr>
            <w:fldChar w:fldCharType="end"/>
          </w:r>
          <w:r/>
        </w:p>
      </w:sdtContent>
    </w:sdt>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erReference w:type="default" r:id="rId10"/>
          <w:footnotePr/>
          <w:endnotePr/>
          <w:type w:val="nextPage"/>
          <w:pgSz w:w="11900" w:h="16838" w:orient="portrait"/>
          <w:pgMar w:top="1440" w:right="1080" w:bottom="1440" w:left="1080" w:header="0" w:footer="1191" w:gutter="0"/>
          <w:pgNumType w:start="1"/>
          <w:cols w:num="1" w:sep="0" w:space="0" w:equalWidth="1"/>
          <w:docGrid w:linePitch="360"/>
        </w:sectPr>
      </w:pPr>
      <w:r>
        <w:rPr>
          <w:rFonts w:hint="eastAsia" w:ascii="宋体" w:hAnsi="宋体" w:eastAsia="宋体" w:cs="宋体"/>
          <w:highlight w:val="none"/>
        </w:rPr>
      </w:r>
      <w:r/>
    </w:p>
    <w:p>
      <w:pPr>
        <w:jc w:val="center"/>
        <w:keepLines w:val="0"/>
        <w:keepNext w:val="0"/>
        <w:pageBreakBefore w:val="0"/>
        <w:spacing w:after="120" w:line="48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0"/>
      </w:pPr>
      <w:r/>
      <w:bookmarkStart w:id="8" w:name="_Toc8347"/>
      <w:r/>
      <w:bookmarkStart w:id="9" w:name="_Toc183693302"/>
      <w:r>
        <w:rPr>
          <w:rFonts w:hint="eastAsia" w:ascii="宋体" w:hAnsi="宋体" w:eastAsia="宋体" w:cs="宋体"/>
          <w:b/>
          <w:bCs/>
          <w:color w:val="000000"/>
          <w:sz w:val="32"/>
          <w:szCs w:val="32"/>
          <w:highlight w:val="none"/>
        </w:rPr>
        <w:t xml:space="preserve">第一章  参加征集活动的邀请</w:t>
      </w:r>
      <w:bookmarkEnd w:id="8"/>
      <w:r/>
      <w:bookmarkEnd w:id="9"/>
      <w:r/>
      <w:r/>
    </w:p>
    <w:p>
      <w:pPr>
        <w:pStyle w:val="921"/>
        <w:ind w:left="0" w:firstLine="480"/>
        <w:keepLines w:val="0"/>
        <w:keepNext w:val="0"/>
        <w:pageBreakBefore w:val="0"/>
        <w:spacing w:before="0" w:after="0" w:line="48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东台市机关事务服务中心</w:t>
      </w:r>
      <w:r>
        <w:rPr>
          <w:rFonts w:hint="eastAsia" w:ascii="宋体" w:hAnsi="宋体" w:eastAsia="宋体" w:cs="宋体"/>
          <w:sz w:val="24"/>
          <w:szCs w:val="24"/>
          <w:highlight w:val="none"/>
        </w:rPr>
        <w:t xml:space="preserve">现就</w:t>
      </w:r>
      <w:r>
        <w:rPr>
          <w:rFonts w:hint="eastAsia" w:ascii="宋体" w:hAnsi="宋体" w:cs="宋体"/>
          <w:sz w:val="24"/>
          <w:szCs w:val="24"/>
          <w:highlight w:val="none"/>
          <w:lang w:eastAsia="zh-CN"/>
        </w:rPr>
        <w:t xml:space="preserve">2026-2027年度东台市党政机关、事业单位和团体组织公务用车维修和保养服务框架协议采购项目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JSZC-320981-JZCG-K2025-0029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征集供应商，欢迎符合条件的供应商参加本次框架协议采购活动。</w:t>
      </w:r>
      <w:r/>
    </w:p>
    <w:p>
      <w:pPr>
        <w:ind w:firstLine="420"/>
        <w:keepLines w:val="0"/>
        <w:keepNext w:val="0"/>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keepLines w:val="0"/>
        <w:keepNext w:val="0"/>
        <w:pageBreakBefore w:val="0"/>
        <w:spacing w:line="480" w:lineRule="exact"/>
        <w:rPr>
          <w:rFonts w:hint="eastAsia" w:ascii="宋体" w:hAnsi="宋体" w:eastAsia="宋体" w:cs="宋体"/>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2026-2027年度东台市党政机关、事业单位和团体组织公务用车维修和保养服务框架协议采购项目</w:t>
      </w:r>
      <w:r>
        <w:rPr>
          <w:rFonts w:hint="eastAsia" w:ascii="宋体" w:hAnsi="宋体" w:eastAsia="宋体" w:cs="宋体"/>
          <w:sz w:val="24"/>
          <w:szCs w:val="24"/>
          <w:highlight w:val="none"/>
        </w:rPr>
        <w:t xml:space="preserve">的潜在供应商在“苏采云”系统内免费下载（供应商必须在苏采云系统中获取征集文件，方能参与政府采购项目</w:t>
      </w:r>
      <w:r>
        <w:rPr>
          <w:rFonts w:hint="eastAsia" w:ascii="宋体" w:hAnsi="宋体" w:cs="宋体"/>
          <w:sz w:val="24"/>
          <w:szCs w:val="24"/>
          <w:highlight w:val="none"/>
          <w:lang w:eastAsia="zh-CN"/>
        </w:rPr>
        <w:t xml:space="preserve">）获取征集文件</w:t>
      </w:r>
      <w:r>
        <w:rPr>
          <w:rFonts w:hint="eastAsia" w:ascii="宋体" w:hAnsi="宋体" w:eastAsia="宋体" w:cs="宋体"/>
          <w:sz w:val="24"/>
          <w:szCs w:val="24"/>
          <w:highlight w:val="none"/>
        </w:rPr>
        <w:t xml:space="preserve">，并于</w:t>
      </w:r>
      <w:r>
        <w:rPr>
          <w:rFonts w:hint="eastAsia" w:ascii="宋体" w:hAnsi="宋体" w:eastAsia="宋体" w:cs="宋体"/>
          <w:sz w:val="24"/>
          <w:szCs w:val="24"/>
          <w:highlight w:val="none"/>
          <w:lang w:val="en-US" w:eastAsia="zh-CN"/>
        </w:rPr>
        <w:t xml:space="preserve">2025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 09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u w:val="none"/>
        </w:rPr>
        <w:t xml:space="preserve">（</w:t>
      </w:r>
      <w:r>
        <w:rPr>
          <w:rFonts w:hint="eastAsia" w:ascii="宋体" w:hAnsi="宋体" w:eastAsia="宋体" w:cs="宋体"/>
          <w:bCs/>
          <w:sz w:val="24"/>
          <w:szCs w:val="24"/>
          <w:highlight w:val="none"/>
          <w:u w:val="none"/>
        </w:rPr>
        <w:t xml:space="preserve">北京时间）前提交响应文件</w:t>
      </w:r>
      <w:r>
        <w:rPr>
          <w:rFonts w:hint="eastAsia" w:ascii="宋体" w:hAnsi="宋体" w:eastAsia="宋体" w:cs="宋体"/>
          <w:sz w:val="24"/>
          <w:szCs w:val="24"/>
          <w:highlight w:val="none"/>
          <w:u w:val="none"/>
        </w:rPr>
        <w:t xml:space="preserve">。</w:t>
      </w:r>
      <w:r/>
    </w:p>
    <w:p>
      <w:pPr>
        <w:pStyle w:val="926"/>
        <w:ind w:firstLine="422"/>
        <w:keepLines w:val="0"/>
        <w:keepNext w:val="0"/>
        <w:pageBreakBefore w:val="0"/>
        <w:spacing w:before="0" w:beforeAutospacing="0" w:after="0" w:afterAutospacing="0" w:line="480" w:lineRule="exact"/>
        <w:rPr>
          <w:rFonts w:hint="eastAsia" w:ascii="宋体" w:hAnsi="宋体" w:eastAsia="宋体" w:cs="宋体"/>
          <w:b/>
          <w:bCs/>
          <w:sz w:val="24"/>
          <w:szCs w:val="24"/>
          <w:highlight w:val="none"/>
        </w:rPr>
      </w:pPr>
      <w:r>
        <w:rPr>
          <w:highlight w:val="none"/>
        </w:rPr>
      </w:r>
      <w:r>
        <w:rPr>
          <w:highlight w:val="none"/>
        </w:rPr>
      </w:r>
    </w:p>
    <w:p>
      <w:pPr>
        <w:pStyle w:val="926"/>
        <w:ind w:firstLine="422"/>
        <w:keepLines w:val="0"/>
        <w:keepNext w:val="0"/>
        <w:pageBreakBefore w:val="0"/>
        <w:spacing w:before="0" w:beforeAutospacing="0" w:after="0" w:afterAutospacing="0" w:line="480" w:lineRule="exact"/>
        <w:rPr>
          <w:highlight w:val="none"/>
          <w:shd w:val="clear" w:color="auto" w:fill="ffffff"/>
        </w:rPr>
      </w:pPr>
      <w:r/>
      <w:bookmarkStart w:id="10" w:name="_Hlk24379207"/>
      <w:r/>
      <w:bookmarkStart w:id="11" w:name="_Toc35393621"/>
      <w:r/>
      <w:bookmarkStart w:id="12" w:name="_Toc38985263"/>
      <w:r/>
      <w:bookmarkStart w:id="13" w:name="_Toc35393790"/>
      <w:r/>
      <w:bookmarkStart w:id="14" w:name="_Toc28359002"/>
      <w:r/>
      <w:bookmarkStart w:id="15" w:name="_Toc28359079"/>
      <w:r>
        <w:rPr>
          <w:rFonts w:hint="eastAsia" w:ascii="宋体" w:hAnsi="宋体" w:eastAsia="宋体" w:cs="宋体"/>
          <w:b/>
          <w:bCs/>
          <w:sz w:val="24"/>
          <w:szCs w:val="24"/>
          <w:highlight w:val="none"/>
          <w:shd w:val="clear" w:color="auto" w:fill="ffffff"/>
        </w:rPr>
        <w:t xml:space="preserve">一、项目基本情况</w:t>
      </w:r>
      <w:bookmarkEnd w:id="10"/>
      <w:r/>
      <w:bookmarkEnd w:id="11"/>
      <w:r/>
      <w:bookmarkEnd w:id="12"/>
      <w:r/>
      <w:bookmarkEnd w:id="13"/>
      <w:r/>
      <w:bookmarkEnd w:id="14"/>
      <w:r/>
      <w:bookmarkEnd w:id="15"/>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bookmarkStart w:id="16" w:name="_Toc28359080"/>
      <w:r/>
      <w:bookmarkStart w:id="17" w:name="_Toc38985264"/>
      <w:r/>
      <w:bookmarkStart w:id="18" w:name="_Toc28359003"/>
      <w:r/>
      <w:bookmarkStart w:id="19" w:name="_Toc35393791"/>
      <w:r/>
      <w:bookmarkStart w:id="20" w:name="_Toc35393622"/>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JSZC-320981-JZCG-K2025-0029</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2026-2027年度东台市党政机关、事业单位和团体组织公务用车维修和保养服务框架协议采购项目</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采购方式：封闭式框架协议采购</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390</w:t>
      </w:r>
      <w:r>
        <w:rPr>
          <w:rFonts w:hint="eastAsia" w:ascii="宋体" w:hAnsi="宋体" w:eastAsia="宋体" w:cs="宋体"/>
          <w:sz w:val="24"/>
          <w:szCs w:val="24"/>
          <w:highlight w:val="none"/>
          <w:lang w:eastAsia="zh-CN"/>
        </w:rPr>
        <w:t xml:space="preserve">万元</w:t>
      </w:r>
      <w:r>
        <w:rPr>
          <w:rFonts w:hint="eastAsia" w:ascii="宋体" w:hAnsi="宋体" w:eastAsia="宋体" w:cs="宋体"/>
          <w:sz w:val="24"/>
          <w:szCs w:val="24"/>
          <w:highlight w:val="none"/>
          <w:lang w:val="en-US"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.最高限制单价：不高于《江苏省机动车维修结算工时定额与收费指南》（2014版）中规定的工时定额对应的收费标准。工时单价限价：不高于</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元/工时，材料进销差价率限价：不高于</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.征集人：</w:t>
      </w:r>
      <w:r>
        <w:rPr>
          <w:rFonts w:hint="eastAsia" w:ascii="宋体" w:hAnsi="宋体" w:cs="宋体"/>
          <w:sz w:val="24"/>
          <w:szCs w:val="24"/>
          <w:highlight w:val="none"/>
          <w:lang w:eastAsia="zh-CN"/>
        </w:rPr>
        <w:t xml:space="preserve">东台市机关事务服务中心</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.适用本次框架协议的采购人或服务对象范围：</w:t>
      </w:r>
      <w:r>
        <w:rPr>
          <w:rFonts w:hint="eastAsia" w:ascii="宋体" w:hAnsi="宋体" w:cs="宋体"/>
          <w:sz w:val="24"/>
          <w:szCs w:val="24"/>
          <w:highlight w:val="none"/>
          <w:lang w:val="en-US" w:eastAsia="zh-CN"/>
        </w:rPr>
        <w:t xml:space="preserve">东台市党政机关、事业单位和团体组织</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w:t>
      </w:r>
      <w:r>
        <w:rPr>
          <w:rFonts w:hint="eastAsia" w:ascii="宋体" w:hAnsi="宋体" w:cs="宋体"/>
          <w:sz w:val="24"/>
          <w:szCs w:val="24"/>
          <w:highlight w:val="none"/>
          <w:lang w:val="en-US" w:eastAsia="zh-CN"/>
        </w:rPr>
        <w:t xml:space="preserve">为东台市公务</w:t>
      </w:r>
      <w:r>
        <w:rPr>
          <w:rFonts w:hint="eastAsia" w:ascii="宋体" w:hAnsi="宋体" w:eastAsia="宋体" w:cs="宋体"/>
          <w:sz w:val="24"/>
          <w:szCs w:val="24"/>
          <w:highlight w:val="none"/>
        </w:rPr>
        <w:t xml:space="preserve">用车</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lang w:eastAsia="zh-CN"/>
        </w:rPr>
        <w:t xml:space="preserve">维修</w:t>
      </w:r>
      <w:r>
        <w:rPr>
          <w:rFonts w:hint="eastAsia" w:ascii="宋体" w:hAnsi="宋体" w:cs="宋体"/>
          <w:sz w:val="24"/>
          <w:szCs w:val="24"/>
          <w:highlight w:val="none"/>
          <w:lang w:val="en-US" w:eastAsia="zh-CN"/>
        </w:rPr>
        <w:t xml:space="preserve">和</w:t>
      </w:r>
      <w:r>
        <w:rPr>
          <w:rFonts w:hint="eastAsia" w:ascii="宋体" w:hAnsi="宋体" w:cs="宋体"/>
          <w:sz w:val="24"/>
          <w:szCs w:val="24"/>
          <w:highlight w:val="none"/>
          <w:lang w:eastAsia="zh-CN"/>
        </w:rPr>
        <w:t xml:space="preserve">保养</w:t>
      </w:r>
      <w:r>
        <w:rPr>
          <w:rFonts w:hint="eastAsia" w:ascii="宋体" w:hAnsi="宋体" w:cs="宋体"/>
          <w:sz w:val="24"/>
          <w:szCs w:val="24"/>
          <w:highlight w:val="none"/>
          <w:lang w:val="en-US" w:eastAsia="zh-CN"/>
        </w:rPr>
        <w:t xml:space="preserve">服务，主要包括整车维修、维护保养、维修救援、汽车轮胎更换，做好车辆安全检查、水电气检查等服务，有安全隐患的车辆及时提出维修方案，做好车辆检查台账</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征集</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ind w:firstLine="420"/>
        <w:keepLines w:val="0"/>
        <w:keepNext w:val="0"/>
        <w:pageBreakBefore w:val="0"/>
        <w:spacing w:line="480" w:lineRule="exact"/>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.框架协议的期限：</w:t>
      </w:r>
      <w:r>
        <w:rPr>
          <w:rFonts w:hint="eastAsia" w:ascii="宋体" w:hAnsi="宋体" w:eastAsia="宋体" w:cs="宋体"/>
          <w:color w:val="000000"/>
          <w:sz w:val="24"/>
          <w:szCs w:val="24"/>
          <w:highlight w:val="none"/>
          <w:lang w:eastAsia="zh-CN"/>
        </w:rPr>
        <w:t xml:space="preserve">2</w:t>
      </w:r>
      <w:r>
        <w:rPr>
          <w:rFonts w:ascii="宋体" w:hAnsi="宋体" w:eastAsia="宋体" w:cs="宋体"/>
          <w:color w:val="000000"/>
          <w:sz w:val="24"/>
          <w:szCs w:val="24"/>
          <w:highlight w:val="none"/>
          <w:lang w:eastAsia="zh-CN"/>
        </w:rPr>
        <w:t xml:space="preserve">02</w:t>
      </w:r>
      <w:r>
        <w:rPr>
          <w:rFonts w:hint="eastAsia" w:ascii="宋体" w:hAnsi="宋体" w:cs="宋体"/>
          <w:color w:val="000000"/>
          <w:sz w:val="24"/>
          <w:szCs w:val="24"/>
          <w:highlight w:val="none"/>
          <w:lang w:val="en-US" w:eastAsia="zh-CN"/>
        </w:rPr>
        <w:t xml:space="preserve">6年</w:t>
      </w:r>
      <w:r>
        <w:rPr>
          <w:rFonts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月</w:t>
      </w:r>
      <w:r>
        <w:rPr>
          <w:rFonts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日</w:t>
      </w:r>
      <w:r>
        <w:rPr>
          <w:rFonts w:ascii="宋体" w:hAnsi="宋体" w:eastAsia="宋体" w:cs="宋体"/>
          <w:color w:val="000000"/>
          <w:sz w:val="24"/>
          <w:szCs w:val="24"/>
          <w:highlight w:val="none"/>
          <w:lang w:eastAsia="zh-CN"/>
        </w:rPr>
        <w:t xml:space="preserve">起至202</w:t>
      </w:r>
      <w:r>
        <w:rPr>
          <w:rFonts w:hint="eastAsia" w:ascii="宋体" w:hAnsi="宋体" w:cs="宋体"/>
          <w:color w:val="000000"/>
          <w:sz w:val="24"/>
          <w:szCs w:val="24"/>
          <w:highlight w:val="none"/>
          <w:lang w:val="en-US" w:eastAsia="zh-CN"/>
        </w:rPr>
        <w:t xml:space="preserve">7年</w:t>
      </w:r>
      <w:r>
        <w:rPr>
          <w:rFonts w:ascii="宋体" w:hAnsi="宋体" w:eastAsia="宋体" w:cs="宋体"/>
          <w:color w:val="000000"/>
          <w:sz w:val="24"/>
          <w:szCs w:val="24"/>
          <w:highlight w:val="none"/>
          <w:lang w:eastAsia="zh-CN"/>
        </w:rPr>
        <w:t xml:space="preserve">12</w:t>
      </w:r>
      <w:r>
        <w:rPr>
          <w:rFonts w:hint="eastAsia" w:ascii="宋体" w:hAnsi="宋体" w:cs="宋体"/>
          <w:color w:val="000000"/>
          <w:sz w:val="24"/>
          <w:szCs w:val="24"/>
          <w:highlight w:val="none"/>
          <w:lang w:val="en-US" w:eastAsia="zh-CN"/>
        </w:rPr>
        <w:t xml:space="preserve">月</w:t>
      </w:r>
      <w:r>
        <w:rPr>
          <w:rFonts w:ascii="宋体" w:hAnsi="宋体" w:eastAsia="宋体" w:cs="宋体"/>
          <w:color w:val="000000"/>
          <w:sz w:val="24"/>
          <w:szCs w:val="24"/>
          <w:highlight w:val="none"/>
          <w:lang w:eastAsia="zh-CN"/>
        </w:rPr>
        <w:t xml:space="preserve">31</w:t>
      </w:r>
      <w:r>
        <w:rPr>
          <w:rFonts w:hint="eastAsia" w:ascii="宋体" w:hAnsi="宋体" w:cs="宋体"/>
          <w:color w:val="000000"/>
          <w:sz w:val="24"/>
          <w:szCs w:val="24"/>
          <w:highlight w:val="none"/>
          <w:lang w:val="en-US" w:eastAsia="zh-CN"/>
        </w:rPr>
        <w:t xml:space="preserve">日</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.本项目不接受联合体参加采购活动，不接受进口产品投标，不得转包、分包。</w:t>
      </w:r>
      <w:r/>
    </w:p>
    <w:p>
      <w:pPr>
        <w:pStyle w:val="926"/>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lang w:eastAsia="zh-CN"/>
        </w:rPr>
      </w:pPr>
      <w:r>
        <w:rPr>
          <w:rFonts w:hint="eastAsia" w:ascii="宋体" w:hAnsi="宋体" w:eastAsia="宋体" w:cs="宋体"/>
          <w:b/>
          <w:bCs/>
          <w:color w:val="333333"/>
          <w:sz w:val="24"/>
          <w:szCs w:val="24"/>
          <w:highlight w:val="none"/>
          <w:shd w:val="clear" w:color="auto" w:fill="ffffff"/>
        </w:rPr>
        <w:t xml:space="preserve">二、供应商的资格要求</w:t>
      </w:r>
      <w:bookmarkEnd w:id="16"/>
      <w:r/>
      <w:bookmarkEnd w:id="17"/>
      <w:r/>
      <w:bookmarkEnd w:id="18"/>
      <w:r/>
      <w:bookmarkEnd w:id="19"/>
      <w:r/>
      <w:bookmarkEnd w:id="20"/>
      <w:r/>
      <w:r/>
    </w:p>
    <w:p>
      <w:pPr>
        <w:ind w:firstLine="420"/>
        <w:keepLines w:val="0"/>
        <w:keepNext w:val="0"/>
        <w:pageBreakBefore w:val="0"/>
        <w:spacing w:line="480" w:lineRule="exact"/>
        <w:rPr>
          <w:rFonts w:hint="eastAsia" w:ascii="宋体" w:hAnsi="宋体" w:eastAsia="宋体" w:cs="宋体"/>
          <w:sz w:val="24"/>
          <w:szCs w:val="24"/>
          <w:highlight w:val="none"/>
        </w:rPr>
      </w:pPr>
      <w:r/>
      <w:bookmarkStart w:id="21" w:name="_Toc38985265"/>
      <w:r/>
      <w:bookmarkStart w:id="22" w:name="_Toc35393623"/>
      <w:r/>
      <w:bookmarkStart w:id="23" w:name="_Toc28359081"/>
      <w:r/>
      <w:bookmarkStart w:id="24" w:name="_Toc35393792"/>
      <w:r/>
      <w:bookmarkStart w:id="25" w:name="_Toc28359004"/>
      <w:r>
        <w:rPr>
          <w:rFonts w:hint="eastAsia" w:ascii="宋体" w:hAnsi="宋体" w:eastAsia="宋体" w:cs="宋体"/>
          <w:sz w:val="24"/>
          <w:szCs w:val="24"/>
          <w:highlight w:val="none"/>
        </w:rPr>
        <w:t xml:space="preserve">(一)满足《中华人民共和国政府采购法》第二十二条规定，并提供下列材料：</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1.法人或者其他组织的营业执照等证明文件，自然人的身份证明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2.上一年度的财务状况报</w:t>
      </w:r>
      <w:r>
        <w:rPr>
          <w:rFonts w:hint="eastAsia" w:ascii="宋体" w:hAnsi="宋体" w:cs="宋体"/>
          <w:sz w:val="24"/>
          <w:szCs w:val="24"/>
          <w:highlight w:val="none"/>
          <w:lang w:val="en-US" w:eastAsia="zh-CN"/>
        </w:rPr>
        <w:t xml:space="preserve">表</w:t>
      </w:r>
      <w:r>
        <w:rPr>
          <w:rFonts w:hint="eastAsia" w:ascii="宋体" w:hAnsi="宋体" w:eastAsia="宋体" w:cs="宋体"/>
          <w:sz w:val="24"/>
          <w:szCs w:val="24"/>
          <w:highlight w:val="none"/>
        </w:rPr>
        <w:t xml:space="preserve">(成立不满一年无需提供)</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3.具备履行合同所必需的设备和专业技术能力的书面声明；</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4.依法缴纳税收和社会保障资金的相关材料(提供响应文件截止时间前一年内至少一个月依法缴纳税收及缴纳社会保障资金的证明材料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供应商依法享受缓缴、免缴税收、社会保障资金的提供证明材料)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5.参加政府采购活动前3年内在经营活动中没有重大违法记录的书面声明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.单位负责人为同一人或者存在直接控股、管理关系的不同供应商，不得参加同一合同项下的政府采购活动（自行承诺，格式自理）</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(二)落实政府采购政策需满足的资格要求:</w:t>
      </w:r>
      <w:r>
        <w:rPr>
          <w:rFonts w:hint="eastAsia" w:ascii="宋体" w:hAnsi="宋体" w:cs="宋体"/>
          <w:sz w:val="24"/>
          <w:szCs w:val="24"/>
          <w:highlight w:val="none"/>
          <w:lang w:val="en-US" w:eastAsia="zh-CN"/>
        </w:rPr>
        <w:t xml:space="preserve">无</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(三)本项目的特定资格要求</w:t>
      </w:r>
      <w:r>
        <w:rPr>
          <w:rFonts w:hint="eastAsia" w:ascii="宋体" w:hAnsi="宋体" w:cs="宋体"/>
          <w:sz w:val="24"/>
          <w:szCs w:val="24"/>
          <w:highlight w:val="none"/>
          <w:lang w:eastAsia="zh-CN"/>
        </w:rPr>
        <w:t xml:space="preserve">：</w:t>
      </w:r>
      <w:r/>
    </w:p>
    <w:p>
      <w:pPr>
        <w:ind w:firstLine="480"/>
        <w:keepLines w:val="0"/>
        <w:keepNext w:val="0"/>
        <w:pageBreakBefore w:val="0"/>
        <w:spacing w:line="480" w:lineRule="exact"/>
        <w:shd w:val="clear" w:color="auto" w:fill="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auto"/>
          <w:sz w:val="24"/>
          <w:szCs w:val="24"/>
          <w:highlight w:val="none"/>
          <w:lang w:val="en-US" w:eastAsia="zh-CN"/>
        </w:rPr>
        <w:t xml:space="preserve">1.供应商（包括依法取得工商营业执照的个体工商户）具备有效的机动车维修经营备案证明（二类及以上资质），并承诺在服务期限内具备该资质（承诺函格式见附表七）；</w:t>
      </w:r>
      <w:r/>
    </w:p>
    <w:p>
      <w:pPr>
        <w:pStyle w:val="769"/>
        <w:ind w:firstLine="480"/>
        <w:rPr>
          <w:rFonts w:hint="eastAsia"/>
          <w:lang w:eastAsia="zh-CN"/>
        </w:rPr>
      </w:pP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如委托被授权人参与，则被授权人须为本单位正式职工并提供</w:t>
      </w:r>
      <w:r>
        <w:rPr>
          <w:rFonts w:hint="eastAsia"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近期为被授权人缴纳的社会养老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保险证明</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926"/>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三、</w:t>
      </w:r>
      <w:bookmarkEnd w:id="21"/>
      <w:r/>
      <w:bookmarkEnd w:id="22"/>
      <w:r/>
      <w:bookmarkEnd w:id="23"/>
      <w:r/>
      <w:bookmarkEnd w:id="24"/>
      <w:r/>
      <w:bookmarkEnd w:id="25"/>
      <w:r>
        <w:rPr>
          <w:rFonts w:hint="eastAsia" w:ascii="宋体" w:hAnsi="宋体" w:eastAsia="宋体" w:cs="宋体"/>
          <w:b/>
          <w:bCs/>
          <w:color w:val="333333"/>
          <w:sz w:val="24"/>
          <w:szCs w:val="24"/>
          <w:highlight w:val="none"/>
          <w:shd w:val="clear" w:color="auto" w:fill="ffffff"/>
        </w:rPr>
        <w:t xml:space="preserve">获取征集文件</w:t>
      </w:r>
      <w:r/>
    </w:p>
    <w:p>
      <w:pPr>
        <w:pStyle w:val="926"/>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bookmarkStart w:id="26" w:name="_Toc28359085"/>
      <w:r/>
      <w:bookmarkStart w:id="27" w:name="_Toc35393796"/>
      <w:r/>
      <w:bookmarkStart w:id="28" w:name="_Toc28359008"/>
      <w:r/>
      <w:bookmarkStart w:id="29" w:name="_Toc38985269"/>
      <w:r/>
      <w:bookmarkStart w:id="30" w:name="_Toc35393627"/>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333333"/>
          <w:sz w:val="24"/>
          <w:szCs w:val="24"/>
          <w:highlight w:val="none"/>
          <w:u w:val="none"/>
        </w:rPr>
        <w:t xml:space="preserve">自征集公告发布之日起5个工作日</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地点：“苏采云”系统内免费下载（投标人必须在苏采云系统中获取征集文件，方能参与政府采购项目）</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方式：本项目采用网上注册登记方式</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文件售价：0元</w:t>
      </w:r>
      <w:r/>
    </w:p>
    <w:p>
      <w:pPr>
        <w:pStyle w:val="926"/>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四、提交响应文件截止时间、开标时间和地点</w:t>
      </w:r>
      <w:r/>
    </w:p>
    <w:p>
      <w:pPr>
        <w:pStyle w:val="926"/>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000000"/>
          <w:sz w:val="24"/>
          <w:szCs w:val="24"/>
          <w:highlight w:val="none"/>
          <w:u w:val="none"/>
          <w:shd w:val="clear" w:color="auto" w:fill="auto"/>
        </w:rPr>
        <w:t xml:space="preserve">202</w:t>
      </w:r>
      <w:r>
        <w:rPr>
          <w:rFonts w:hint="eastAsia" w:ascii="宋体" w:hAnsi="宋体" w:eastAsia="宋体" w:cs="宋体"/>
          <w:color w:val="000000"/>
          <w:sz w:val="24"/>
          <w:szCs w:val="24"/>
          <w:highlight w:val="none"/>
          <w:u w:val="none"/>
          <w:shd w:val="clear" w:color="auto" w:fill="auto"/>
          <w:lang w:val="en-US" w:eastAsia="zh-CN"/>
        </w:rPr>
        <w:t xml:space="preserve">5</w:t>
      </w:r>
      <w:r>
        <w:rPr>
          <w:rFonts w:hint="eastAsia" w:ascii="宋体" w:hAnsi="宋体" w:eastAsia="宋体" w:cs="宋体"/>
          <w:color w:val="000000"/>
          <w:sz w:val="24"/>
          <w:szCs w:val="24"/>
          <w:highlight w:val="none"/>
          <w:u w:val="none"/>
          <w:shd w:val="clear" w:color="auto" w:fill="auto"/>
        </w:rPr>
        <w:t xml:space="preserve">-</w:t>
      </w:r>
      <w:r>
        <w:rPr>
          <w:rFonts w:hint="eastAsia" w:ascii="宋体" w:hAnsi="宋体" w:eastAsia="宋体" w:cs="宋体"/>
          <w:color w:val="000000"/>
          <w:sz w:val="24"/>
          <w:szCs w:val="24"/>
          <w:highlight w:val="none"/>
          <w:u w:val="none"/>
          <w:shd w:val="clear" w:color="auto" w:fill="auto"/>
          <w:lang w:val="en-US" w:eastAsia="zh-CN"/>
        </w:rPr>
        <w:t xml:space="preserve">1</w:t>
      </w:r>
      <w:r>
        <w:rPr>
          <w:rFonts w:hint="eastAsia" w:cs="宋体"/>
          <w:color w:val="000000"/>
          <w:sz w:val="24"/>
          <w:szCs w:val="24"/>
          <w:highlight w:val="none"/>
          <w:u w:val="none"/>
          <w:shd w:val="clear" w:color="auto" w:fill="auto"/>
          <w:lang w:val="en-US" w:eastAsia="zh-CN"/>
        </w:rPr>
        <w:t xml:space="preserve">2</w:t>
      </w:r>
      <w:r>
        <w:rPr>
          <w:rFonts w:hint="eastAsia" w:ascii="宋体" w:hAnsi="宋体" w:eastAsia="宋体" w:cs="宋体"/>
          <w:color w:val="000000"/>
          <w:sz w:val="24"/>
          <w:szCs w:val="24"/>
          <w:highlight w:val="none"/>
          <w:u w:val="none"/>
          <w:shd w:val="clear" w:color="auto" w:fill="auto"/>
        </w:rPr>
        <w:t xml:space="preserve">-</w:t>
      </w:r>
      <w:r>
        <w:rPr>
          <w:rFonts w:hint="eastAsia" w:cs="宋体"/>
          <w:color w:val="000000"/>
          <w:sz w:val="24"/>
          <w:szCs w:val="24"/>
          <w:highlight w:val="none"/>
          <w:u w:val="none"/>
          <w:shd w:val="clear" w:color="auto" w:fill="auto"/>
          <w:lang w:val="en-US" w:eastAsia="zh-CN"/>
        </w:rPr>
        <w:t xml:space="preserve">10</w:t>
      </w:r>
      <w:r>
        <w:rPr>
          <w:rFonts w:hint="eastAsia" w:ascii="宋体" w:hAnsi="宋体" w:eastAsia="宋体" w:cs="宋体"/>
          <w:color w:val="000000"/>
          <w:sz w:val="24"/>
          <w:szCs w:val="24"/>
          <w:highlight w:val="none"/>
          <w:u w:val="none"/>
          <w:shd w:val="clear" w:color="auto" w:fill="auto"/>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:00（北京时间）</w:t>
      </w:r>
      <w:r/>
    </w:p>
    <w:p>
      <w:pPr>
        <w:pStyle w:val="926"/>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地点：“苏采云”政府采购交易系统网上开标大厅</w:t>
      </w:r>
      <w:r/>
    </w:p>
    <w:p>
      <w:pPr>
        <w:pStyle w:val="926"/>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五、公告期限</w:t>
      </w:r>
      <w:r/>
    </w:p>
    <w:p>
      <w:pPr>
        <w:pStyle w:val="926"/>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征集公告及征集文件公告期限为自本公告发布之日起5个工作日。</w:t>
      </w:r>
      <w:r/>
    </w:p>
    <w:p>
      <w:pPr>
        <w:pStyle w:val="926"/>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六、其他补充事宜</w:t>
      </w:r>
      <w:r/>
    </w:p>
    <w:p>
      <w:pPr>
        <w:pStyle w:val="760"/>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eastAsia="宋体" w:cs="宋体"/>
          <w:b w:val="0"/>
          <w:bCs w:val="0"/>
          <w:i w:val="0"/>
          <w:iCs w:val="0"/>
          <w:caps w:val="0"/>
          <w:color w:val="auto"/>
          <w:spacing w:val="0"/>
          <w:sz w:val="24"/>
          <w:szCs w:val="24"/>
          <w:highlight w:val="none"/>
          <w:shd w:val="clear" w:color="auto" w:fill="ffffff"/>
          <w:lang w:val="en-US" w:eastAsia="zh-CN" w:bidi="ar-SA"/>
        </w:rPr>
        <w:t xml:space="preserve">供应商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通过苏采云系统参与政府采购项目，需要更换CA数字证书和电子签章。具体办理指南和操作手册：在盐城市政府采购网点击【办事指南】-【供应商参与政府采购活动相关资料】。</w:t>
      </w:r>
      <w:r/>
    </w:p>
    <w:p>
      <w:pPr>
        <w:pStyle w:val="760"/>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pStyle w:val="760"/>
        <w:ind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926"/>
        <w:ind w:firstLine="480"/>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26"/>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sz w:val="24"/>
          <w:szCs w:val="24"/>
          <w:highlight w:val="none"/>
        </w:rPr>
        <w:t xml:space="preserve">七、</w:t>
      </w:r>
      <w:bookmarkEnd w:id="26"/>
      <w:r/>
      <w:bookmarkEnd w:id="27"/>
      <w:r/>
      <w:bookmarkEnd w:id="28"/>
      <w:r/>
      <w:bookmarkEnd w:id="29"/>
      <w:r/>
      <w:bookmarkEnd w:id="30"/>
      <w:r>
        <w:rPr>
          <w:rFonts w:hint="eastAsia" w:ascii="宋体" w:hAnsi="宋体" w:eastAsia="宋体" w:cs="宋体"/>
          <w:b/>
          <w:bCs/>
          <w:sz w:val="24"/>
          <w:szCs w:val="24"/>
          <w:highlight w:val="none"/>
        </w:rPr>
        <w:t xml:space="preserve">征集人的相关信息</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1.征集人信息</w:t>
      </w:r>
      <w:r/>
    </w:p>
    <w:p>
      <w:pPr>
        <w:ind w:firstLine="420"/>
        <w:keepLines w:val="0"/>
        <w:keepNext w:val="0"/>
        <w:pageBreakBefore w:val="0"/>
        <w:spacing w:line="48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东台市机关事务服务中心</w:t>
      </w:r>
      <w:r/>
    </w:p>
    <w:p>
      <w:pPr>
        <w:ind w:firstLine="420"/>
        <w:keepLines w:val="0"/>
        <w:keepNext w:val="0"/>
        <w:pageBreakBefore w:val="0"/>
        <w:spacing w:line="48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东台市</w:t>
      </w:r>
      <w:r>
        <w:rPr>
          <w:rFonts w:hint="eastAsia" w:ascii="宋体" w:hAnsi="宋体" w:eastAsia="宋体" w:cs="宋体"/>
          <w:color w:val="000000"/>
          <w:sz w:val="24"/>
          <w:szCs w:val="24"/>
          <w:highlight w:val="none"/>
          <w:lang w:eastAsia="zh-CN"/>
        </w:rPr>
        <w:t xml:space="preserve">北海中路8号</w:t>
      </w:r>
      <w:r/>
    </w:p>
    <w:p>
      <w:pPr>
        <w:ind w:firstLine="420"/>
        <w:keepLines w:val="0"/>
        <w:keepNext w:val="0"/>
        <w:pageBreakBefore w:val="0"/>
        <w:spacing w:line="48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施</w:t>
      </w:r>
      <w:r>
        <w:rPr>
          <w:rFonts w:hint="eastAsia" w:ascii="宋体" w:hAnsi="宋体" w:eastAsia="宋体" w:cs="宋体"/>
          <w:color w:val="000000"/>
          <w:sz w:val="24"/>
          <w:szCs w:val="24"/>
          <w:highlight w:val="none"/>
          <w:lang w:val="en-US" w:eastAsia="zh-CN"/>
        </w:rPr>
        <w:t xml:space="preserve">先生</w:t>
      </w:r>
      <w:r/>
    </w:p>
    <w:p>
      <w:pPr>
        <w:ind w:firstLine="420"/>
        <w:keepLines w:val="0"/>
        <w:keepNext w:val="0"/>
        <w:pageBreakBefore w:val="0"/>
        <w:spacing w:line="480" w:lineRule="exact"/>
        <w:rPr>
          <w:rFonts w:hint="eastAsia" w:ascii="宋体" w:hAnsi="宋体" w:eastAsia="宋体" w:cs="宋体"/>
          <w:color w:val="00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联系电话：0515-89561988</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2.采购代理机构信息</w:t>
      </w:r>
      <w:r/>
    </w:p>
    <w:p>
      <w:pPr>
        <w:ind w:firstLine="420"/>
        <w:keepLines w:val="0"/>
        <w:keepNext w:val="0"/>
        <w:pageBreakBefore w:val="0"/>
        <w:spacing w:line="480" w:lineRule="exac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东台市公共资源交易中心</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东台市北海西路8号</w:t>
      </w:r>
      <w:r/>
    </w:p>
    <w:p>
      <w:pPr>
        <w:ind w:firstLine="420"/>
        <w:keepLines w:val="0"/>
        <w:keepNext w:val="0"/>
        <w:pageBreakBefore w:val="0"/>
        <w:spacing w:line="480" w:lineRule="exact"/>
        <w:tabs>
          <w:tab w:val="right" w:pos="8724" w:leader="none"/>
        </w:tabs>
        <w:rPr>
          <w:rFonts w:hint="default"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 系 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姜先生</w:t>
      </w:r>
      <w:r/>
    </w:p>
    <w:p>
      <w:pPr>
        <w:ind w:firstLine="420"/>
        <w:keepLines w:val="0"/>
        <w:keepNext w:val="0"/>
        <w:pageBreakBefore w:val="0"/>
        <w:spacing w:line="48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cs="宋体"/>
          <w:color w:val="000000"/>
          <w:sz w:val="24"/>
          <w:szCs w:val="24"/>
          <w:highlight w:val="none"/>
          <w:lang w:val="en-US" w:eastAsia="zh-CN"/>
        </w:rPr>
        <w:t xml:space="preserve">15195547095</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3.项目联系方式</w:t>
      </w:r>
      <w:r/>
    </w:p>
    <w:p>
      <w:pPr>
        <w:ind w:firstLine="420"/>
        <w:keepLines w:val="0"/>
        <w:keepNext w:val="0"/>
        <w:pageBreakBefore w:val="0"/>
        <w:spacing w:line="480" w:lineRule="exact"/>
        <w:tabs>
          <w:tab w:val="right" w:pos="8724"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姜先生</w:t>
      </w:r>
      <w:r/>
    </w:p>
    <w:p>
      <w:pPr>
        <w:ind w:firstLine="420"/>
        <w:keepLines w:val="0"/>
        <w:keepNext w:val="0"/>
        <w:pageBreakBefore w:val="0"/>
        <w:spacing w:line="480" w:lineRule="exact"/>
        <w:rPr>
          <w:rFonts w:hint="default" w:ascii="宋体" w:hAnsi="宋体" w:eastAsia="宋体" w:cs="宋体"/>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w:t>
      </w:r>
      <w:bookmarkStart w:id="31" w:name="_Toc120614211"/>
      <w:r/>
      <w:bookmarkStart w:id="32" w:name="_Toc128039579"/>
      <w:r>
        <w:rPr>
          <w:rFonts w:hint="eastAsia" w:ascii="宋体" w:hAnsi="宋体" w:cs="宋体"/>
          <w:color w:val="000000"/>
          <w:sz w:val="24"/>
          <w:szCs w:val="24"/>
          <w:highlight w:val="none"/>
          <w:lang w:val="en-US" w:eastAsia="zh-CN"/>
        </w:rPr>
        <w:t xml:space="preserve">15195547095</w:t>
      </w:r>
      <w:r/>
    </w:p>
    <w:p>
      <w:pPr>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after="120" w:line="480" w:lineRule="exact"/>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bookmarkStart w:id="33" w:name="_Toc183693303"/>
      <w:r/>
      <w:r/>
    </w:p>
    <w:p>
      <w:pPr>
        <w:pStyle w:val="762"/>
        <w:rPr>
          <w:rFonts w:hint="eastAsia"/>
          <w:highlight w:val="none"/>
        </w:rPr>
      </w:pPr>
      <w:r>
        <w:rPr>
          <w:rFonts w:hint="eastAsia"/>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第二章  </w:t>
      </w:r>
      <w:bookmarkEnd w:id="31"/>
      <w:r/>
      <w:bookmarkStart w:id="35" w:name="_Toc120614213"/>
      <w:r/>
      <w:bookmarkStart w:id="36" w:name="_Toc513029202"/>
      <w:r/>
      <w:bookmarkStart w:id="37" w:name="_Toc16938518"/>
      <w:r/>
      <w:bookmarkStart w:id="38" w:name="_Toc20823274"/>
      <w:r>
        <w:rPr>
          <w:rFonts w:hint="eastAsia" w:ascii="宋体" w:hAnsi="宋体" w:eastAsia="宋体" w:cs="宋体"/>
          <w:b/>
          <w:bCs/>
          <w:color w:val="000000"/>
          <w:sz w:val="32"/>
          <w:szCs w:val="32"/>
          <w:highlight w:val="none"/>
        </w:rPr>
        <w:t xml:space="preserve">供应商须知</w:t>
      </w:r>
      <w:bookmarkEnd w:id="32"/>
      <w:r/>
      <w:bookmarkEnd w:id="33"/>
      <w:r/>
      <w:bookmarkEnd w:id="34"/>
      <w:r/>
      <w:bookmarkEnd w:id="35"/>
      <w:r/>
      <w:bookmarkEnd w:id="36"/>
      <w:r/>
      <w:bookmarkEnd w:id="37"/>
      <w:r/>
      <w:bookmarkEnd w:id="38"/>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9" w:name="_Toc120614214"/>
      <w:r/>
      <w:bookmarkStart w:id="40" w:name="_Toc16938519"/>
      <w:r/>
      <w:bookmarkStart w:id="41" w:name="_Toc20823275"/>
      <w:r/>
      <w:bookmarkStart w:id="42" w:name="_Toc513029203"/>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39"/>
      <w:r/>
      <w:bookmarkEnd w:id="40"/>
      <w:r/>
      <w:bookmarkEnd w:id="41"/>
      <w:r/>
      <w:bookmarkEnd w:id="42"/>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3" w:name="_Hlt16619475"/>
      <w:r/>
      <w:bookmarkEnd w:id="43"/>
      <w:r/>
      <w:bookmarkStart w:id="44" w:name="_Toc458694821"/>
      <w:r/>
      <w:bookmarkStart w:id="45" w:name="_Toc513029204"/>
      <w:r/>
      <w:bookmarkStart w:id="46" w:name="_Toc20823276"/>
      <w:r/>
      <w:bookmarkStart w:id="47" w:name="_Toc16938520"/>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44"/>
      <w:r>
        <w:rPr>
          <w:rFonts w:hint="eastAsia" w:ascii="宋体" w:hAnsi="宋体" w:eastAsia="宋体" w:cs="宋体"/>
          <w:b/>
          <w:bCs/>
          <w:color w:val="000000" w:themeColor="text1"/>
          <w:sz w:val="24"/>
          <w:szCs w:val="24"/>
          <w:highlight w:val="none"/>
          <w14:textFill>
            <w14:solidFill>
              <w14:schemeClr w14:val="tx1"/>
            </w14:solidFill>
          </w14:textFill>
        </w:rPr>
        <w:t xml:space="preserve">、采购方式</w:t>
      </w:r>
      <w:bookmarkEnd w:id="45"/>
      <w:r/>
      <w:bookmarkEnd w:id="46"/>
      <w:r/>
      <w:bookmarkEnd w:id="47"/>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1.1本次项目采用封闭式框架协议采购方式，本征集文件仅适用于征集公告中所述项目。</w:t>
      </w:r>
      <w:bookmarkStart w:id="48" w:name="_Toc513029205"/>
      <w:r/>
      <w:bookmarkStart w:id="49" w:name="_Toc16938521"/>
      <w:r/>
      <w:bookmarkStart w:id="50" w:name="_Toc20823277"/>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2、合格的</w:t>
      </w:r>
      <w:bookmarkEnd w:id="48"/>
      <w:r/>
      <w:bookmarkEnd w:id="49"/>
      <w:r/>
      <w:bookmarkEnd w:id="50"/>
      <w:r>
        <w:rPr>
          <w:rFonts w:hint="eastAsia" w:ascii="宋体" w:hAnsi="宋体" w:eastAsia="宋体" w:cs="宋体"/>
          <w:b/>
          <w:bCs/>
          <w:color w:val="000000" w:themeColor="text1"/>
          <w:sz w:val="24"/>
          <w:szCs w:val="24"/>
          <w:highlight w:val="none"/>
          <w14:textFill>
            <w14:solidFill>
              <w14:schemeClr w14:val="tx1"/>
            </w14:solidFill>
          </w14:textFill>
        </w:rPr>
        <w:t xml:space="preserve">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2.1满足征集公告中供应商资格要求的规定。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2.2满足本征集文件实质性要求和条件的规定。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1" w:name="_Toc513029206"/>
      <w:r/>
      <w:bookmarkStart w:id="52" w:name="_Toc16938522"/>
      <w:r/>
      <w:bookmarkStart w:id="53" w:name="_Toc20823278"/>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1"/>
      <w:r/>
      <w:bookmarkEnd w:id="52"/>
      <w:r/>
      <w:bookmarkEnd w:id="53"/>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3.1本次封闭式框架协议采购活动（以下简称采购活动）及由此产生的框架协议文本和采购合同文本受中华人民共和国有关的法律法规制约和保护。</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4" w:name="_Toc462564067"/>
      <w:r/>
      <w:bookmarkStart w:id="55" w:name="_Toc513029207"/>
      <w:r/>
      <w:bookmarkStart w:id="56" w:name="_Toc20823279"/>
      <w:r/>
      <w:bookmarkStart w:id="57" w:name="_Toc16938523"/>
      <w:r>
        <w:rPr>
          <w:rFonts w:hint="eastAsia" w:ascii="宋体" w:hAnsi="宋体" w:eastAsia="宋体" w:cs="宋体"/>
          <w:b/>
          <w:bCs/>
          <w:color w:val="000000" w:themeColor="text1"/>
          <w:sz w:val="24"/>
          <w:szCs w:val="24"/>
          <w:highlight w:val="none"/>
          <w14:textFill>
            <w14:solidFill>
              <w14:schemeClr w14:val="tx1"/>
            </w14:solidFill>
          </w14:textFill>
        </w:rPr>
        <w:t xml:space="preserve">4、参加采购活动的费用</w:t>
      </w:r>
      <w:bookmarkEnd w:id="54"/>
      <w:r/>
      <w:bookmarkEnd w:id="55"/>
      <w:r/>
      <w:bookmarkEnd w:id="56"/>
      <w:r/>
      <w:bookmarkEnd w:id="57"/>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4.1供应商应自行承担所有与参加采购活动有关的费用，无论采购活动过程中的做法和结果如何，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不收取标书工本费。</w:t>
      </w:r>
      <w:r/>
    </w:p>
    <w:p>
      <w:pPr>
        <w:ind w:firstLine="420"/>
        <w:keepLines w:val="0"/>
        <w:keepNext w:val="0"/>
        <w:pageBreakBefore w:val="0"/>
        <w:spacing w:line="480" w:lineRule="exact"/>
        <w:widowControl w:val="off"/>
        <w:rPr>
          <w:rFonts w:hint="eastAsia"/>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eastAsia" w:ascii="宋体" w:hAnsi="宋体" w:cs="宋体"/>
          <w:color w:val="000000" w:themeColor="text1"/>
          <w:sz w:val="24"/>
          <w:szCs w:val="24"/>
          <w:highlight w:val="none"/>
          <w14:textFill>
            <w14:solidFill>
              <w14:schemeClr w14:val="tx1"/>
            </w14:solidFill>
          </w14:textFill>
        </w:rPr>
        <w:t xml:space="preserve">本项目的前期需求调查咨询费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2.41</w:t>
      </w:r>
      <w:r>
        <w:rPr>
          <w:rFonts w:hint="eastAsia" w:ascii="宋体" w:hAnsi="宋体" w:cs="宋体"/>
          <w:color w:val="000000" w:themeColor="text1"/>
          <w:sz w:val="24"/>
          <w:szCs w:val="24"/>
          <w:highlight w:val="none"/>
          <w14:textFill>
            <w14:solidFill>
              <w14:schemeClr w14:val="tx1"/>
            </w14:solidFill>
          </w14:textFill>
        </w:rPr>
        <w:t xml:space="preserve">万元，由入围供应商均摊，入围供应商在领取入围通知书前向项目经办人支付。此项费用含在响应（投标）报价中，不单独列项，由供应商在响应（投标）报价时综合考虑</w:t>
      </w:r>
      <w:r>
        <w:rPr>
          <w:rFonts w:hint="eastAsia"/>
        </w:rPr>
        <w:t xml:space="preserve">。</w:t>
      </w:r>
      <w:r/>
    </w:p>
    <w:p>
      <w:pPr>
        <w:ind w:firstLine="420"/>
        <w:keepLines w:val="0"/>
        <w:keepNext w:val="0"/>
        <w:pageBreakBefore w:val="0"/>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5、征集文件的约束力</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5.1供应商一旦参加本项目采购活动，即被认为接受了本征集文件的规定和约束。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8" w:name="_Toc120614215"/>
      <w:r/>
      <w:bookmarkStart w:id="59" w:name="_Toc16938525"/>
      <w:r/>
      <w:bookmarkStart w:id="60" w:name="_Toc20823281"/>
      <w:r/>
      <w:bookmarkStart w:id="61" w:name="_Toc513029209"/>
      <w:r>
        <w:rPr>
          <w:rFonts w:hint="eastAsia" w:ascii="宋体" w:hAnsi="宋体" w:eastAsia="宋体" w:cs="宋体"/>
          <w:b/>
          <w:bCs/>
          <w:color w:val="000000" w:themeColor="text1"/>
          <w:sz w:val="24"/>
          <w:szCs w:val="24"/>
          <w:highlight w:val="none"/>
          <w14:textFill>
            <w14:solidFill>
              <w14:schemeClr w14:val="tx1"/>
            </w14:solidFill>
          </w14:textFill>
        </w:rPr>
        <w:t xml:space="preserve">二、征集文件</w:t>
      </w:r>
      <w:bookmarkEnd w:id="58"/>
      <w:r/>
      <w:bookmarkEnd w:id="59"/>
      <w:r/>
      <w:bookmarkEnd w:id="60"/>
      <w:r/>
      <w:bookmarkEnd w:id="61"/>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2" w:name="_Toc513029210"/>
      <w:r/>
      <w:bookmarkStart w:id="63" w:name="_Toc20823282"/>
      <w:r/>
      <w:bookmarkStart w:id="64" w:name="_Toc16938526"/>
      <w:r>
        <w:rPr>
          <w:rFonts w:hint="eastAsia" w:ascii="宋体" w:hAnsi="宋体" w:eastAsia="宋体" w:cs="宋体"/>
          <w:b/>
          <w:bCs/>
          <w:color w:val="000000" w:themeColor="text1"/>
          <w:sz w:val="24"/>
          <w:szCs w:val="24"/>
          <w:highlight w:val="none"/>
          <w14:textFill>
            <w14:solidFill>
              <w14:schemeClr w14:val="tx1"/>
            </w14:solidFill>
          </w14:textFill>
        </w:rPr>
        <w:t xml:space="preserve">6、征集文件构成</w:t>
      </w:r>
      <w:bookmarkEnd w:id="62"/>
      <w:r/>
      <w:bookmarkEnd w:id="63"/>
      <w:r/>
      <w:bookmarkEnd w:id="64"/>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6.1征集文件由以下部分组成：</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6.1.1参加征集活动的邀请</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6.1.2供应商须知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6.1.3框架协议文本</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6.1.4采购需求</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6.1.5确定入围及成交供应商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6.1.6响应文件格式</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请仔细检查征集文件是否齐全，如有缺漏请立即与征集人联系解决。</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5" w:name="_Toc462564070"/>
      <w:r/>
      <w:bookmarkStart w:id="66" w:name="_Toc16938527"/>
      <w:r/>
      <w:bookmarkStart w:id="67" w:name="_Toc20823283"/>
      <w:r/>
      <w:bookmarkStart w:id="68" w:name="_Toc513029211"/>
      <w:r>
        <w:rPr>
          <w:rFonts w:hint="eastAsia" w:ascii="宋体" w:hAnsi="宋体" w:eastAsia="宋体" w:cs="宋体"/>
          <w:b/>
          <w:bCs/>
          <w:color w:val="000000" w:themeColor="text1"/>
          <w:sz w:val="24"/>
          <w:szCs w:val="24"/>
          <w:highlight w:val="none"/>
          <w14:textFill>
            <w14:solidFill>
              <w14:schemeClr w14:val="tx1"/>
            </w14:solidFill>
          </w14:textFill>
        </w:rPr>
        <w:t xml:space="preserve">7、征集文件的澄清</w:t>
      </w:r>
      <w:bookmarkEnd w:id="65"/>
      <w:r/>
      <w:bookmarkEnd w:id="66"/>
      <w:r/>
      <w:bookmarkEnd w:id="67"/>
      <w:r/>
      <w:bookmarkEnd w:id="68"/>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7.1任何要求对征集文件进行澄清的供应商，应在响应文件提交截止期十日前按征集公告中的通讯地址，以书面形式通知征集人。</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9" w:name="_Toc16938528"/>
      <w:r/>
      <w:bookmarkStart w:id="70" w:name="_Toc462564071"/>
      <w:r/>
      <w:bookmarkStart w:id="71" w:name="_Toc20823284"/>
      <w:r/>
      <w:bookmarkStart w:id="72" w:name="_Toc513029212"/>
      <w:r>
        <w:rPr>
          <w:rFonts w:hint="eastAsia" w:ascii="宋体" w:hAnsi="宋体" w:eastAsia="宋体" w:cs="宋体"/>
          <w:b/>
          <w:bCs/>
          <w:color w:val="000000" w:themeColor="text1"/>
          <w:sz w:val="24"/>
          <w:szCs w:val="24"/>
          <w:highlight w:val="none"/>
          <w14:textFill>
            <w14:solidFill>
              <w14:schemeClr w14:val="tx1"/>
            </w14:solidFill>
          </w14:textFill>
        </w:rPr>
        <w:t xml:space="preserve">8、征集文件的修改</w:t>
      </w:r>
      <w:bookmarkEnd w:id="69"/>
      <w:r/>
      <w:bookmarkEnd w:id="70"/>
      <w:r/>
      <w:bookmarkEnd w:id="71"/>
      <w:r/>
      <w:bookmarkEnd w:id="72"/>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8.1在响应文件提交截止时间前，征集人可以对征集文件进行修改。</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有权按照法定的要求推迟响应文件提交截止日期和开启日期。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8.3征集文件的修改将在江苏政府采购网、盐城市政府采购网公布，补充文件将作为征集文件的组成部分，并对供应商具有约束力。</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3" w:name="_Toc16938529"/>
      <w:r/>
      <w:bookmarkStart w:id="74" w:name="_Toc513029213"/>
      <w:r/>
      <w:bookmarkStart w:id="75" w:name="_Toc120614216"/>
      <w:r/>
      <w:bookmarkStart w:id="76" w:name="_Toc20823285"/>
      <w:r/>
      <w:bookmarkStart w:id="77" w:name="_Toc462564072"/>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73"/>
      <w:r/>
      <w:bookmarkEnd w:id="74"/>
      <w:r/>
      <w:bookmarkEnd w:id="75"/>
      <w:r/>
      <w:bookmarkEnd w:id="76"/>
      <w:r/>
      <w:bookmarkEnd w:id="77"/>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8" w:name="_Toc20823286"/>
      <w:r/>
      <w:bookmarkStart w:id="79" w:name="_Toc513029214"/>
      <w:r/>
      <w:bookmarkStart w:id="80" w:name="_Toc16938530"/>
      <w:r/>
      <w:bookmarkStart w:id="81" w:name="_Toc462564073"/>
      <w:r>
        <w:rPr>
          <w:rFonts w:hint="eastAsia" w:ascii="宋体" w:hAnsi="宋体" w:eastAsia="宋体" w:cs="宋体"/>
          <w:b/>
          <w:bCs/>
          <w:color w:val="000000" w:themeColor="text1"/>
          <w:sz w:val="24"/>
          <w:szCs w:val="24"/>
          <w:highlight w:val="none"/>
          <w14:textFill>
            <w14:solidFill>
              <w14:schemeClr w14:val="tx1"/>
            </w14:solidFill>
          </w14:textFill>
        </w:rPr>
        <w:t xml:space="preserve">9、响应文件的语言及度量衡单位</w:t>
      </w:r>
      <w:bookmarkEnd w:id="78"/>
      <w:r/>
      <w:bookmarkEnd w:id="79"/>
      <w:r/>
      <w:bookmarkEnd w:id="80"/>
      <w:r/>
      <w:bookmarkEnd w:id="81"/>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9.1供应商提交的响应文件以及供应商与征集人就采购活动的所有来往通知、函件和文件均应使用简体中文。</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9.2除技术性能另有规定外，响应文件所使用的度量衡单位，均须采用国家法定计量单位。</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2" w:name="_Toc20823287"/>
      <w:r/>
      <w:bookmarkStart w:id="83" w:name="_Toc462564074"/>
      <w:r/>
      <w:bookmarkStart w:id="84" w:name="_Toc16938531"/>
      <w:r/>
      <w:bookmarkStart w:id="85" w:name="_Toc513029215"/>
      <w:r>
        <w:rPr>
          <w:rFonts w:hint="eastAsia" w:ascii="宋体" w:hAnsi="宋体" w:eastAsia="宋体" w:cs="宋体"/>
          <w:b/>
          <w:bCs/>
          <w:color w:val="000000" w:themeColor="text1"/>
          <w:sz w:val="24"/>
          <w:szCs w:val="24"/>
          <w:highlight w:val="none"/>
          <w14:textFill>
            <w14:solidFill>
              <w14:schemeClr w14:val="tx1"/>
            </w14:solidFill>
          </w14:textFill>
        </w:rPr>
        <w:t xml:space="preserve">10、响应文件构成</w:t>
      </w:r>
      <w:bookmarkEnd w:id="82"/>
      <w:r/>
      <w:bookmarkEnd w:id="83"/>
      <w:r/>
      <w:bookmarkEnd w:id="84"/>
      <w:r/>
      <w:bookmarkEnd w:id="85"/>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10.1供应商编写的响应文件应包括资格证明文件、符合性证明文件、其他证明文件、响应函、报价一览表等部分。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10.2如标书制作工具中格式和内容与“江苏政府采购网”发布的征集文件不一致，请以“江苏政府采购网”、“盐城市政府采购网”、发布的征集文件为准。</w:t>
      </w:r>
      <w:bookmarkStart w:id="86" w:name="_Hlt26954846"/>
      <w:r/>
      <w:bookmarkEnd w:id="86"/>
      <w:r/>
      <w:bookmarkStart w:id="87" w:name="_Hlt26954838"/>
      <w:r/>
      <w:bookmarkEnd w:id="87"/>
      <w:r/>
      <w:bookmarkStart w:id="88" w:name="_Hlt26954848"/>
      <w:r/>
      <w:bookmarkEnd w:id="88"/>
      <w:r/>
      <w:bookmarkStart w:id="89" w:name="_Hlt26670360"/>
      <w:r/>
      <w:bookmarkEnd w:id="89"/>
      <w:r/>
      <w:bookmarkStart w:id="90" w:name="_Toc14577357"/>
      <w:r/>
      <w:bookmarkEnd w:id="90"/>
      <w:r/>
      <w:bookmarkStart w:id="91" w:name="_Toc49090507"/>
      <w:r/>
      <w:bookmarkEnd w:id="91"/>
      <w:r/>
      <w:bookmarkStart w:id="92" w:name="_Hlt26670486"/>
      <w:r/>
      <w:bookmarkEnd w:id="92"/>
      <w:r/>
      <w:bookmarkStart w:id="93" w:name="_Toc14577354"/>
      <w:r/>
      <w:bookmarkEnd w:id="93"/>
      <w:r/>
      <w:bookmarkStart w:id="94" w:name="_Hlt26954731"/>
      <w:r/>
      <w:bookmarkEnd w:id="94"/>
      <w:r/>
      <w:bookmarkStart w:id="95" w:name="_Hlt26668975"/>
      <w:r/>
      <w:bookmarkEnd w:id="95"/>
      <w:r/>
      <w:bookmarkStart w:id="96" w:name="_Hlt26670482"/>
      <w:r/>
      <w:bookmarkEnd w:id="96"/>
      <w:r/>
      <w:bookmarkStart w:id="97" w:name="_Toc49090509"/>
      <w:r/>
      <w:bookmarkEnd w:id="97"/>
      <w:r/>
      <w:bookmarkStart w:id="98" w:name="_Toc513029219"/>
      <w:r/>
      <w:bookmarkEnd w:id="98"/>
      <w:r/>
      <w:bookmarkStart w:id="99" w:name="_Toc513029216"/>
      <w:r/>
      <w:bookmarkEnd w:id="99"/>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11、与评审有关的其他资料</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供应商可在响应文件中提供认为需要的其他技术文件或说明。</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12、服务承诺</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需根据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要求提供有关售后服务的管理制度，售后服务机构的分布情况，售后服务人员的数量、素质、技术水平及售后服务的反应能力等。</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0" w:name="_Toc49090510"/>
      <w:r/>
      <w:bookmarkStart w:id="101" w:name="_Toc14577359"/>
      <w:r>
        <w:rPr>
          <w:rFonts w:hint="eastAsia" w:ascii="宋体" w:hAnsi="宋体" w:eastAsia="宋体" w:cs="宋体"/>
          <w:b/>
          <w:bCs/>
          <w:color w:val="000000" w:themeColor="text1"/>
          <w:sz w:val="24"/>
          <w:szCs w:val="24"/>
          <w:highlight w:val="none"/>
          <w14:textFill>
            <w14:solidFill>
              <w14:schemeClr w14:val="tx1"/>
            </w14:solidFill>
          </w14:textFill>
        </w:rPr>
        <w:t xml:space="preserve">13、响应函和报价一览表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13.1供应商应按照征集文件中提供的格式完整、正确填写响应函、报价一览表。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13.2响应文件中的产品单价和专用耗材单价无特殊规定的采用人民币报价，以元为单位标注。征集文件中另有规定的按规定执行。</w:t>
      </w:r>
      <w:bookmarkEnd w:id="100"/>
      <w:r/>
      <w:bookmarkEnd w:id="101"/>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2" w:name="_Toc49090511"/>
      <w:r/>
      <w:bookmarkStart w:id="103" w:name="_Toc14577360"/>
      <w:r>
        <w:rPr>
          <w:rFonts w:hint="eastAsia" w:ascii="宋体" w:hAnsi="宋体" w:eastAsia="宋体" w:cs="宋体"/>
          <w:b/>
          <w:bCs/>
          <w:color w:val="000000" w:themeColor="text1"/>
          <w:sz w:val="24"/>
          <w:szCs w:val="24"/>
          <w:highlight w:val="none"/>
          <w14:textFill>
            <w14:solidFill>
              <w14:schemeClr w14:val="tx1"/>
            </w14:solidFill>
          </w14:textFill>
        </w:rPr>
        <w:t xml:space="preserve">14、响应文件有效期</w:t>
      </w:r>
      <w:bookmarkEnd w:id="102"/>
      <w:r/>
      <w:bookmarkEnd w:id="103"/>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14.1响应文件有效期为征集人规定的开标之日后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0）天。响应文件有效期比规定短的将被视为未实质性响应征集文件而予以拒绝。</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15、响应文件有效期的延长</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4" w:name="_Hlt26954852"/>
      <w:r/>
      <w:bookmarkEnd w:id="104"/>
      <w:r/>
      <w:bookmarkStart w:id="105" w:name="_Hlt26954739"/>
      <w:r/>
      <w:bookmarkEnd w:id="105"/>
      <w:r/>
      <w:bookmarkStart w:id="106" w:name="_Toc20823296"/>
      <w:r/>
      <w:bookmarkStart w:id="107" w:name="_Toc120614217"/>
      <w:r/>
      <w:bookmarkStart w:id="108" w:name="_Toc16938540"/>
      <w:r/>
      <w:bookmarkStart w:id="109" w:name="_Toc513029224"/>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06"/>
      <w:r/>
      <w:bookmarkEnd w:id="107"/>
      <w:r/>
      <w:bookmarkEnd w:id="108"/>
      <w:r/>
      <w:bookmarkEnd w:id="109"/>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0" w:name="_Toc20823297"/>
      <w:r/>
      <w:bookmarkStart w:id="111" w:name="_Toc16938541"/>
      <w:r/>
      <w:bookmarkStart w:id="112" w:name="_Toc462564084"/>
      <w:r/>
      <w:bookmarkStart w:id="113" w:name="_Toc513029225"/>
      <w:r>
        <w:rPr>
          <w:rFonts w:hint="eastAsia" w:ascii="宋体" w:hAnsi="宋体" w:eastAsia="宋体" w:cs="宋体"/>
          <w:b/>
          <w:bCs/>
          <w:color w:val="000000" w:themeColor="text1"/>
          <w:sz w:val="24"/>
          <w:szCs w:val="24"/>
          <w:highlight w:val="none"/>
          <w14:textFill>
            <w14:solidFill>
              <w14:schemeClr w14:val="tx1"/>
            </w14:solidFill>
          </w14:textFill>
        </w:rPr>
        <w:t xml:space="preserve">16、电子响应文件</w:t>
      </w:r>
      <w:bookmarkEnd w:id="110"/>
      <w:r/>
      <w:bookmarkEnd w:id="111"/>
      <w:r/>
      <w:bookmarkEnd w:id="112"/>
      <w:r/>
      <w:bookmarkEnd w:id="113"/>
      <w:r>
        <w:rPr>
          <w:rFonts w:hint="eastAsia" w:ascii="宋体" w:hAnsi="宋体" w:eastAsia="宋体" w:cs="宋体"/>
          <w:b/>
          <w:bCs/>
          <w:color w:val="000000" w:themeColor="text1"/>
          <w:sz w:val="24"/>
          <w:szCs w:val="24"/>
          <w:highlight w:val="none"/>
          <w14:textFill>
            <w14:solidFill>
              <w14:schemeClr w14:val="tx1"/>
            </w14:solidFill>
          </w14:textFill>
        </w:rPr>
        <w:t xml:space="preserve">的递交</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16.1供应商应当按照《操作手册》规定，在响应文件提交截止时间前制作并上传电子响应文件。</w:t>
      </w:r>
      <w:bookmarkStart w:id="114" w:name="_Toc20823298"/>
      <w:r/>
      <w:bookmarkStart w:id="115" w:name="_Toc16938542"/>
      <w:r/>
      <w:bookmarkStart w:id="116" w:name="_Toc513029226"/>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w:t>
      </w:r>
      <w:bookmarkEnd w:id="114"/>
      <w:r/>
      <w:bookmarkEnd w:id="115"/>
      <w:r/>
      <w:bookmarkEnd w:id="116"/>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响应文件提交截止时间</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17.1供应商上传电子响应文件的时间不得迟于征集公告中规定的截止时间。</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供应商应充分考虑到网络环境、网络带宽等风险因素，如因供应商自身原因造成的电子响应文件上传不成功的按照本征集文件第二章第25.1.2条规定做无效响应处理。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17.2征集人可以按照规定，通过修改征集文件酌情延长截止日期，在此情况下，供应商的所有权利和义务以及供应商受制的截止日期均应以延长后新的截止日期为准。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7" w:name="_Toc513029227"/>
      <w:r/>
      <w:bookmarkStart w:id="118" w:name="_Toc20823299"/>
      <w:r/>
      <w:bookmarkStart w:id="119" w:name="_Toc16938543"/>
      <w:r>
        <w:rPr>
          <w:rFonts w:hint="eastAsia" w:ascii="宋体" w:hAnsi="宋体" w:eastAsia="宋体" w:cs="宋体"/>
          <w:b/>
          <w:bCs/>
          <w:color w:val="000000" w:themeColor="text1"/>
          <w:sz w:val="24"/>
          <w:szCs w:val="24"/>
          <w:highlight w:val="none"/>
          <w14:textFill>
            <w14:solidFill>
              <w14:schemeClr w14:val="tx1"/>
            </w14:solidFill>
          </w14:textFill>
        </w:rPr>
        <w:t xml:space="preserve">18、</w:t>
      </w:r>
      <w:bookmarkEnd w:id="117"/>
      <w:r/>
      <w:bookmarkEnd w:id="118"/>
      <w:r/>
      <w:bookmarkEnd w:id="119"/>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响应文件的拒收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18.1征集人拒绝接收在其规定的响应文件提交截止时间后上传的任何响应文件。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0" w:name="_Toc16938544"/>
      <w:r/>
      <w:bookmarkStart w:id="121" w:name="_Toc513029228"/>
      <w:r/>
      <w:bookmarkStart w:id="122" w:name="_Toc20823300"/>
      <w:r>
        <w:rPr>
          <w:rFonts w:hint="eastAsia" w:ascii="宋体" w:hAnsi="宋体" w:eastAsia="宋体" w:cs="宋体"/>
          <w:b/>
          <w:bCs/>
          <w:color w:val="000000" w:themeColor="text1"/>
          <w:sz w:val="24"/>
          <w:szCs w:val="24"/>
          <w:highlight w:val="none"/>
          <w14:textFill>
            <w14:solidFill>
              <w14:schemeClr w14:val="tx1"/>
            </w14:solidFill>
          </w14:textFill>
        </w:rPr>
        <w:t xml:space="preserve">19、响应文件的撤回和修改</w:t>
      </w:r>
      <w:bookmarkEnd w:id="120"/>
      <w:r/>
      <w:bookmarkEnd w:id="121"/>
      <w:r/>
      <w:bookmarkEnd w:id="122"/>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19.1响应文件的撤回</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19.1.1电子响应文件的撤回</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供应商可在响应文件提交截止时间前，撤回其电子响应文件，具体操作方法见《操作手册》。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19.1.2供应商撤回电子响应文件，则认为其不再参与本项采购活动。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19.2响应文件的修改</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供应商可在响应文件提交截止时间前，对其电子响应文件进行修改，具体操作方法见《操作手册》。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19.3在响应文件提交截止时间之后，供应商不得对其电子响应文件作任何修改。</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19.4在响应文件提交截止时间至征集文件中规定的响应文件有效期满之间的这段时间内，供应商不得撤回其电子响应文件。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3" w:name="_Toc20823301"/>
      <w:r/>
      <w:bookmarkStart w:id="124" w:name="_Toc16938545"/>
      <w:r/>
      <w:bookmarkStart w:id="125" w:name="_Toc513029229"/>
      <w:r/>
      <w:bookmarkStart w:id="126" w:name="_Toc120614218"/>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五、响应文件的开启与</w:t>
      </w:r>
      <w:bookmarkEnd w:id="123"/>
      <w:r/>
      <w:bookmarkEnd w:id="124"/>
      <w:r/>
      <w:bookmarkEnd w:id="125"/>
      <w:r/>
      <w:bookmarkEnd w:id="126"/>
      <w:r>
        <w:rPr>
          <w:rFonts w:hint="eastAsia" w:ascii="宋体" w:hAnsi="宋体" w:eastAsia="宋体" w:cs="宋体"/>
          <w:b/>
          <w:bCs/>
          <w:color w:val="000000" w:themeColor="text1"/>
          <w:sz w:val="24"/>
          <w:szCs w:val="24"/>
          <w:highlight w:val="none"/>
          <w14:textFill>
            <w14:solidFill>
              <w14:schemeClr w14:val="tx1"/>
            </w14:solidFill>
          </w14:textFill>
        </w:rPr>
        <w:t xml:space="preserve">评审</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7" w:name="_Toc16938546"/>
      <w:r/>
      <w:bookmarkStart w:id="128" w:name="_Toc513029230"/>
      <w:r/>
      <w:bookmarkStart w:id="129" w:name="_Toc20823302"/>
      <w:r>
        <w:rPr>
          <w:rFonts w:hint="eastAsia" w:ascii="宋体" w:hAnsi="宋体" w:eastAsia="宋体" w:cs="宋体"/>
          <w:b/>
          <w:bCs/>
          <w:color w:val="000000" w:themeColor="text1"/>
          <w:sz w:val="24"/>
          <w:szCs w:val="24"/>
          <w:highlight w:val="none"/>
          <w14:textFill>
            <w14:solidFill>
              <w14:schemeClr w14:val="tx1"/>
            </w14:solidFill>
          </w14:textFill>
        </w:rPr>
        <w:t xml:space="preserve">20、</w:t>
      </w:r>
      <w:bookmarkEnd w:id="127"/>
      <w:r/>
      <w:bookmarkEnd w:id="128"/>
      <w:r/>
      <w:bookmarkEnd w:id="129"/>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响应文件的开启</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将在征集公告中规定的时间和地点组织开启响应文件。供应商应当按照《操作手册》规定，参加响应文件开启和在“苏采云”系统规定的时间内对电子响应文件进行解密。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20.2响应文件开启仪式由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组织,苏采云系统将自动公布各供应商的报价。</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20.3供应商在响应文件开启过程中涉及到的响应文件解密、结果确认等工作，应按照《操作手册》规定执行。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20.4供应商如果对响应文件开启过程和开启记录有疑义，应当根据《操作手册》规定提出，如“苏采云”系统中《报价一览表》宣布后5分钟内未提出的，视同认可开启结果。</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3"/>
      <w:r/>
      <w:bookmarkStart w:id="131" w:name="_Toc16938547"/>
      <w:r/>
      <w:bookmarkStart w:id="132" w:name="_Toc513029231"/>
      <w:r>
        <w:rPr>
          <w:rFonts w:hint="eastAsia" w:ascii="宋体" w:hAnsi="宋体" w:eastAsia="宋体" w:cs="宋体"/>
          <w:b/>
          <w:bCs/>
          <w:color w:val="000000" w:themeColor="text1"/>
          <w:sz w:val="24"/>
          <w:szCs w:val="24"/>
          <w:highlight w:val="none"/>
          <w14:textFill>
            <w14:solidFill>
              <w14:schemeClr w14:val="tx1"/>
            </w14:solidFill>
          </w14:textFill>
        </w:rPr>
        <w:t xml:space="preserve">21、评审小组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21.1响应文件开启后，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将立即组织评审小组进行项目评审。</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21.2评审小组由技术、经济等方面的专家组成，且人员构成符合政府采购有关规定。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21.3评审小组独立工作，负责评审所有响应文件并确定入围供应商。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22、评审过程的保密与公正</w:t>
      </w:r>
      <w:bookmarkEnd w:id="130"/>
      <w:r/>
      <w:bookmarkEnd w:id="131"/>
      <w:r/>
      <w:bookmarkEnd w:id="132"/>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22.1凡是与审查、澄清、评价和比较的有关资料以及授标建议等，评审小组成员、征集人、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均不得向供应商或与评审工作无关的其他人员透露。</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22.2在评审过程中，供应商不得以任何行为影响评审过程，否则其响应文件将被作为无效响应文件。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3" w:name="_Toc20823304"/>
      <w:r/>
      <w:bookmarkStart w:id="134" w:name="_Toc16938548"/>
      <w:r/>
      <w:bookmarkStart w:id="135" w:name="_Toc513029232"/>
      <w:r>
        <w:rPr>
          <w:rFonts w:hint="eastAsia" w:ascii="宋体" w:hAnsi="宋体" w:eastAsia="宋体" w:cs="宋体"/>
          <w:b/>
          <w:bCs/>
          <w:color w:val="000000" w:themeColor="text1"/>
          <w:sz w:val="24"/>
          <w:szCs w:val="24"/>
          <w:highlight w:val="none"/>
          <w14:textFill>
            <w14:solidFill>
              <w14:schemeClr w14:val="tx1"/>
            </w14:solidFill>
          </w14:textFill>
        </w:rPr>
        <w:t xml:space="preserve">23、响应文件的澄清</w:t>
      </w:r>
      <w:bookmarkEnd w:id="133"/>
      <w:r/>
      <w:bookmarkEnd w:id="134"/>
      <w:r/>
      <w:bookmarkEnd w:id="135"/>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23.1评审期间，对于响应文件中含义不明确、同类问题表述不一致或者有明显文字和计算错误的内容，评审小组将在苏采云系统中要求供应商作出必要的澄清、说明和补正。</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23.3供应商如未按规定做出澄清、说明和补正，其风险由供应商自行承担。</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6" w:name="_Toc16938549"/>
      <w:r/>
      <w:bookmarkStart w:id="137" w:name="_Toc20823305"/>
      <w:r/>
      <w:bookmarkStart w:id="138" w:name="_Toc513029233"/>
      <w:r>
        <w:rPr>
          <w:rFonts w:hint="eastAsia" w:ascii="宋体" w:hAnsi="宋体" w:eastAsia="宋体" w:cs="宋体"/>
          <w:b/>
          <w:bCs/>
          <w:color w:val="000000" w:themeColor="text1"/>
          <w:sz w:val="24"/>
          <w:szCs w:val="24"/>
          <w:highlight w:val="none"/>
          <w14:textFill>
            <w14:solidFill>
              <w14:schemeClr w14:val="tx1"/>
            </w14:solidFill>
          </w14:textFill>
        </w:rPr>
        <w:t xml:space="preserve">24、对响应文件的初审</w:t>
      </w:r>
      <w:bookmarkEnd w:id="136"/>
      <w:r/>
      <w:bookmarkEnd w:id="137"/>
      <w:r/>
      <w:bookmarkEnd w:id="138"/>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24.1响应文件初审分为资格审查和符合性审查。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24.1.1资格审查：依据法律法规和征集文件规定的资格要求对供应商的资格证明文件进行审查。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在进行资格审查的同时，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将在“信用中国”网站（www.creditchina.gov.cn）查询供应商的信用记录，以确定供应商是否具备参加本次采购活动的资格。查询结果将以网页打印的形式留存并归档。</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24.1.2符合性审查：依据征集文件的规定，由评审小组从响应文件的有效性、完整性和对征集文件的响应程度进行审查，以确定是否对征集文件的实质性要求作出响应。</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24.1.3未通过资格审查或符合性审查的供应商，征集人将在“苏采云”系统中告知未通过资格审查或符合性审查的原因，评审结束后，征集人将不再告知未通过资格审查或符合性审查的原因。</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24.3如果响应文件实质上没有响应征集文件的要求，评审小组将予以拒绝，供应商不得通过修改或撤销不合要求的偏离或保留而使其响应文件成为实质性响应文件。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24.4评审小组将允许修正响应文件中不构成重大偏离的、微小的、非正规的、不一致的或不规则的地方，但这些修改不能影响任何供应商相应的名次排列。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bookmarkStart w:id="139" w:name="_Toc20823306"/>
      <w:r/>
      <w:bookmarkStart w:id="140" w:name="_Toc513029234"/>
      <w:r/>
      <w:bookmarkStart w:id="141" w:name="_Toc16938550"/>
      <w:r>
        <w:rPr>
          <w:rFonts w:hint="eastAsia" w:ascii="宋体" w:hAnsi="宋体" w:eastAsia="宋体" w:cs="宋体"/>
          <w:color w:val="000000" w:themeColor="text1"/>
          <w:sz w:val="24"/>
          <w:szCs w:val="24"/>
          <w:highlight w:val="none"/>
          <w14:textFill>
            <w14:solidFill>
              <w14:schemeClr w14:val="tx1"/>
            </w14:solidFill>
          </w14:textFill>
        </w:rPr>
        <w:t xml:space="preserve">5供应商在响应文件开启及项目评审全过程中应保持通讯畅通，及时登录“苏采云”系统查阅、答复相关信息，并安排专人与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及评审小组联系。</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w:t>
      </w:r>
      <w:bookmarkEnd w:id="139"/>
      <w:r/>
      <w:bookmarkEnd w:id="140"/>
      <w:r/>
      <w:bookmarkEnd w:id="141"/>
      <w:r>
        <w:rPr>
          <w:rFonts w:hint="eastAsia" w:ascii="宋体" w:hAnsi="宋体" w:eastAsia="宋体" w:cs="宋体"/>
          <w:b/>
          <w:bCs/>
          <w:color w:val="000000" w:themeColor="text1"/>
          <w:sz w:val="24"/>
          <w:szCs w:val="24"/>
          <w:highlight w:val="none"/>
          <w14:textFill>
            <w14:solidFill>
              <w14:schemeClr w14:val="tx1"/>
            </w14:solidFill>
          </w14:textFill>
        </w:rPr>
        <w:t xml:space="preserve">无效响应条款和采购活动终止条款</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2" w:name="_Toc16938551"/>
      <w:r/>
      <w:bookmarkStart w:id="143" w:name="_Toc20823307"/>
      <w:r/>
      <w:bookmarkStart w:id="144" w:name="_Toc120614219"/>
      <w:r/>
      <w:bookmarkStart w:id="145" w:name="_Toc513029235"/>
      <w:r>
        <w:rPr>
          <w:rFonts w:hint="eastAsia" w:ascii="宋体" w:hAnsi="宋体" w:eastAsia="宋体" w:cs="宋体"/>
          <w:color w:val="000000" w:themeColor="text1"/>
          <w:sz w:val="24"/>
          <w:szCs w:val="24"/>
          <w:highlight w:val="none"/>
          <w14:textFill>
            <w14:solidFill>
              <w14:schemeClr w14:val="tx1"/>
            </w14:solidFill>
          </w14:textFill>
        </w:rPr>
        <w:t xml:space="preserve">25.1无效响应条款</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25.1.1供应商在“苏采云”系统规定的时间内未成功解密电子响应文件的。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 供应商未按照征集文件要求上传电子响应文件的。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25.1.3供应商同一分包提交两个（含两个）以上不同的报价的。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25.1.4供应商不具备征集文件中规定资格要求的。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25.1.5供应商未通过符合性审查的。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25.1.6不符合征集文件中规定的实质性要求和条件的。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25.1.8 响应文件含有征集人不能接受的附加条件的。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25.1.9</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投标人不能证明其报价合理性的，评标委员会应当将其作为无效投标处理。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评审过程中出现下列情形之一的，评审委员会应当启动异常低价投标审查程序：</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yellow"/>
          <w14:textFill>
            <w14:solidFill>
              <w14:schemeClr w14:val="tx1"/>
            </w14:solidFill>
          </w14:textFill>
        </w:rPr>
        <w:t xml:space="preserve">投标报价低于采购项目最高限价45%的，即投标报价</w:t>
      </w:r>
      <w:r>
        <w:rPr>
          <w:rFonts w:hint="eastAsia" w:ascii="宋体" w:hAnsi="宋体" w:eastAsia="宋体" w:cs="宋体"/>
          <w:color w:val="000000"/>
          <w:sz w:val="24"/>
          <w:szCs w:val="24"/>
          <w:highlight w:val="yellow"/>
          <w:lang w:val="en-US" w:eastAsia="zh-CN" w:bidi="ar-SA"/>
        </w:rPr>
        <w:t xml:space="preserve">&lt;</w:t>
      </w:r>
      <w:r>
        <w:rPr>
          <w:rFonts w:hint="eastAsia" w:ascii="宋体" w:hAnsi="宋体" w:eastAsia="宋体" w:cs="宋体"/>
          <w:color w:val="000000" w:themeColor="text1"/>
          <w:sz w:val="24"/>
          <w:szCs w:val="24"/>
          <w:highlight w:val="yellow"/>
          <w14:textFill>
            <w14:solidFill>
              <w14:schemeClr w14:val="tx1"/>
            </w14:solidFill>
          </w14:textFill>
        </w:rPr>
        <w:t xml:space="preserve">采购项目最高限价45%</w:t>
      </w:r>
      <w:r>
        <w:rPr>
          <w:rFonts w:hint="eastAsia" w:ascii="宋体" w:hAnsi="宋体" w:cs="宋体"/>
          <w:color w:val="000000" w:themeColor="text1"/>
          <w:sz w:val="24"/>
          <w:szCs w:val="24"/>
          <w:highlight w:val="yellow"/>
          <w:lang w:eastAsia="zh-CN"/>
          <w14:textFill>
            <w14:solidFill>
              <w14:schemeClr w14:val="tx1"/>
            </w14:solidFill>
          </w14:textFill>
        </w:rPr>
        <w:t xml:space="preserve">（因本项目投标报价有两个报价，即按工时单价和材料进销差价率分别进行报价，供应商的工时单价和材料进销差价率报价中任一项报价</w:t>
      </w:r>
      <w:r>
        <w:rPr>
          <w:rFonts w:hint="eastAsia" w:ascii="宋体" w:hAnsi="宋体" w:eastAsia="宋体" w:cs="宋体"/>
          <w:color w:val="000000"/>
          <w:sz w:val="24"/>
          <w:szCs w:val="24"/>
          <w:highlight w:val="yellow"/>
          <w:lang w:val="en-US" w:eastAsia="zh-CN" w:bidi="ar-SA"/>
        </w:rPr>
        <w:t xml:space="preserve">&lt;</w:t>
      </w:r>
      <w:r>
        <w:rPr>
          <w:rFonts w:hint="eastAsia" w:ascii="宋体" w:hAnsi="宋体" w:eastAsia="宋体" w:cs="宋体"/>
          <w:color w:val="000000" w:themeColor="text1"/>
          <w:sz w:val="24"/>
          <w:szCs w:val="24"/>
          <w:highlight w:val="yellow"/>
          <w14:textFill>
            <w14:solidFill>
              <w14:schemeClr w14:val="tx1"/>
            </w14:solidFill>
          </w14:textFill>
        </w:rPr>
        <w:t xml:space="preserve">采购项目最高限价45%</w:t>
      </w:r>
      <w:r>
        <w:rPr>
          <w:rFonts w:hint="eastAsia" w:ascii="宋体" w:hAnsi="宋体" w:cs="宋体"/>
          <w:color w:val="000000" w:themeColor="text1"/>
          <w:sz w:val="24"/>
          <w:szCs w:val="24"/>
          <w:highlight w:val="yellow"/>
          <w:lang w:val="en-US" w:eastAsia="zh-CN"/>
          <w14:textFill>
            <w14:solidFill>
              <w14:schemeClr w14:val="tx1"/>
            </w14:solidFill>
          </w14:textFill>
        </w:rPr>
        <w:t xml:space="preserve">的都将</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启动异常低价投标审查程序</w:t>
      </w:r>
      <w:r>
        <w:rPr>
          <w:rFonts w:hint="eastAsia" w:ascii="宋体" w:hAnsi="宋体" w:cs="宋体"/>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yellow"/>
          <w14:textFill>
            <w14:solidFill>
              <w14:schemeClr w14:val="tx1"/>
            </w14:solidFill>
          </w14:textFill>
        </w:rPr>
        <w:t xml:space="preserve">；</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yellow"/>
          <w14:textFill>
            <w14:solidFill>
              <w14:schemeClr w14:val="tx1"/>
            </w14:solidFill>
          </w14:textFill>
        </w:rPr>
        <w:t xml:space="preserve">评审委员会认定的供应商报价过低、有可能影响产品质量或者不能诚信履约的其他情形。</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响应文件未按照征集文件要求加盖电子签章。</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其他法律、法规及本征集文件规定的属无效响应的情形。</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25.2采购活动终止条款</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25.2.1出现影响采购公正的违法、违规行为。</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25.2.2因重大变故，采购任务取消的。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25.2.3评审小组认定征集文件存在歧义、重大缺陷导致评审工作无法进行。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25.2.4 因苏采云系统系统故障原因造成响应文件开启不成功的。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25.2.5 提交响应文件和通过资格审查、符合性审查的供应商数量少于2家。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42"/>
      <w:r/>
      <w:bookmarkEnd w:id="143"/>
      <w:r/>
      <w:bookmarkEnd w:id="144"/>
      <w:r/>
      <w:bookmarkEnd w:id="145"/>
      <w:r>
        <w:rPr>
          <w:rFonts w:hint="eastAsia" w:ascii="宋体" w:hAnsi="宋体" w:eastAsia="宋体" w:cs="宋体"/>
          <w:b/>
          <w:bCs/>
          <w:color w:val="000000" w:themeColor="text1"/>
          <w:sz w:val="24"/>
          <w:szCs w:val="24"/>
          <w:highlight w:val="none"/>
          <w14:textFill>
            <w14:solidFill>
              <w14:schemeClr w14:val="tx1"/>
            </w14:solidFill>
          </w14:textFill>
        </w:rPr>
        <w:t xml:space="preserve">入围</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6" w:name="_Toc513029238"/>
      <w:r/>
      <w:bookmarkStart w:id="147" w:name="_Toc20823310"/>
      <w:r/>
      <w:bookmarkStart w:id="148" w:name="_Toc16938554"/>
      <w:r>
        <w:rPr>
          <w:rFonts w:hint="eastAsia" w:ascii="宋体" w:hAnsi="宋体" w:eastAsia="宋体" w:cs="宋体"/>
          <w:b/>
          <w:bCs/>
          <w:color w:val="000000" w:themeColor="text1"/>
          <w:sz w:val="24"/>
          <w:szCs w:val="24"/>
          <w:highlight w:val="none"/>
          <w14:textFill>
            <w14:solidFill>
              <w14:schemeClr w14:val="tx1"/>
            </w14:solidFill>
          </w14:textFill>
        </w:rPr>
        <w:t xml:space="preserve">26、</w:t>
      </w:r>
      <w:bookmarkEnd w:id="146"/>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47"/>
      <w:r/>
      <w:bookmarkEnd w:id="148"/>
      <w:r>
        <w:rPr>
          <w:rFonts w:hint="eastAsia" w:ascii="宋体" w:hAnsi="宋体" w:eastAsia="宋体" w:cs="宋体"/>
          <w:b/>
          <w:bCs/>
          <w:color w:val="000000" w:themeColor="text1"/>
          <w:sz w:val="24"/>
          <w:szCs w:val="24"/>
          <w:highlight w:val="none"/>
          <w14:textFill>
            <w14:solidFill>
              <w14:schemeClr w14:val="tx1"/>
            </w14:solidFill>
          </w14:textFill>
        </w:rPr>
        <w:t xml:space="preserve">入围供应商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26.1入围供应商的选取原则和数量见征集文件第五章规定。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将在“中国政府采购网”、“江苏政府采购网”、“盐城市政府采购网”发布“入围结果公告”，公告期限为1个工作日。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26.3入围供应商有下列情形之一，尚未签订框架协议的，取消其入围资格；已经签订框架协议的，解除与其签订的框架协议：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26.3.1恶意串通谋取入围或者合同成交的。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26.3.2提供虚假材料谋取入围或者合同成交的。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26.3.3无正当理由拒不接受合同授予的。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26.3.4不履行合同义务或者履行合同义务不符合约定，经采购人请求履行后仍不履行或者仍未按约定履行的。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26.3.5框架协议有效期内，因违法行为被禁止或限制参加政府采购活动的。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26.3.6框架协议约定的其他情形。</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26.3.7被取消入围资格或者被解除框架协议的供应商不得参加同一封闭式框架协议补充征集。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9" w:name="_Toc200451960"/>
      <w:r>
        <w:rPr>
          <w:rFonts w:hint="eastAsia" w:ascii="宋体" w:hAnsi="宋体" w:eastAsia="宋体" w:cs="宋体"/>
          <w:b/>
          <w:bCs/>
          <w:color w:val="000000" w:themeColor="text1"/>
          <w:sz w:val="24"/>
          <w:szCs w:val="24"/>
          <w:highlight w:val="none"/>
          <w14:textFill>
            <w14:solidFill>
              <w14:schemeClr w14:val="tx1"/>
            </w14:solidFill>
          </w14:textFill>
        </w:rPr>
        <w:t xml:space="preserve">27、质疑处理</w:t>
      </w:r>
      <w:bookmarkEnd w:id="149"/>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27.1提出质疑的供应商应当是参与所质疑封闭式框架协议项目采购活动的供应商。潜在供应商依法获取其可质疑的征集文件的，可以对征集文件提出质疑。</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27.2.1对可以质疑的征集文件提出质疑的，为收到征集文件之日或者征集文件公告期限届满之日；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27.2.2对采购过程提出质疑的，为各采购程序环节结束之日；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27.2.3对入围结果提出质疑的，为入围结果公告期限届满之日。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供应商应当在法定质疑期内一次性提出针对同一征集程序环节的质疑。供应商如在法定期限内对同一征集程序环节提出多次质疑的，征集人将只对供应商第一次质疑作出答复。</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27.3质疑函必须按照本征集文件中《质疑函范本》要求的格式和内容进行填写。</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27.4征集人只接收以纸质原件形式送达的质疑,不接受未填写快递运单的快件。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27.5以下情形的质疑不予受理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27.5.1内容不符合《政府采购质疑和投诉办法》第十二条规定的质疑。</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27.5.2超出政府采购法定期限的质疑。</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27.5.3以传真、电子邮件等方式递交的非原件形式的质疑。</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27.5.4未参加采购活动的供应商或在采购活动中自身权益未受到损害的供应商所提出的质疑。</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28、入围通知书</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28.1入围结果确定后，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28.2入围通知书将是框架协议的一个组成部分。对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和入围供应商均具有法律效力。入围通知书发出后，入围供应商无正当理由，不得主动放弃入围资格或者退出框架协议，否则应当依法承担法律责任。</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0" w:name="_Toc120614220"/>
      <w:r/>
      <w:bookmarkStart w:id="151" w:name="_Toc16938552"/>
      <w:r/>
      <w:bookmarkStart w:id="152" w:name="_Toc20823308"/>
      <w:r/>
      <w:bookmarkStart w:id="153" w:name="_Toc513029236"/>
      <w:r>
        <w:rPr>
          <w:rFonts w:hint="eastAsia" w:ascii="宋体" w:hAnsi="宋体" w:eastAsia="宋体" w:cs="宋体"/>
          <w:b/>
          <w:bCs/>
          <w:color w:val="000000" w:themeColor="text1"/>
          <w:sz w:val="24"/>
          <w:szCs w:val="24"/>
          <w:highlight w:val="none"/>
          <w14:textFill>
            <w14:solidFill>
              <w14:schemeClr w14:val="tx1"/>
            </w14:solidFill>
          </w14:textFill>
        </w:rPr>
        <w:t xml:space="preserve">七、</w:t>
      </w:r>
      <w:bookmarkEnd w:id="150"/>
      <w:r>
        <w:rPr>
          <w:rFonts w:hint="eastAsia" w:ascii="宋体" w:hAnsi="宋体" w:eastAsia="宋体" w:cs="宋体"/>
          <w:b/>
          <w:bCs/>
          <w:color w:val="000000" w:themeColor="text1"/>
          <w:sz w:val="24"/>
          <w:szCs w:val="24"/>
          <w:highlight w:val="none"/>
          <w14:textFill>
            <w14:solidFill>
              <w14:schemeClr w14:val="tx1"/>
            </w14:solidFill>
          </w14:textFill>
        </w:rPr>
        <w:t xml:space="preserve">签订框架协议</w:t>
      </w:r>
      <w:bookmarkEnd w:id="151"/>
      <w:r/>
      <w:bookmarkEnd w:id="152"/>
      <w:r/>
      <w:bookmarkEnd w:id="153"/>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4" w:name="_Toc513029237"/>
      <w:r/>
      <w:bookmarkStart w:id="155" w:name="_Toc20823309"/>
      <w:r/>
      <w:bookmarkStart w:id="156" w:name="_Toc16938553"/>
      <w:r>
        <w:rPr>
          <w:rFonts w:hint="eastAsia" w:ascii="宋体" w:hAnsi="宋体" w:eastAsia="宋体" w:cs="宋体"/>
          <w:b/>
          <w:bCs/>
          <w:color w:val="000000" w:themeColor="text1"/>
          <w:sz w:val="24"/>
          <w:szCs w:val="24"/>
          <w:highlight w:val="none"/>
          <w14:textFill>
            <w14:solidFill>
              <w14:schemeClr w14:val="tx1"/>
            </w14:solidFill>
          </w14:textFill>
        </w:rPr>
        <w:t xml:space="preserve">29、签订框架协议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29.l征集人在入围通知书发出之日起30日内和入围供应商签订电子框架协议，入围供应商在接到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29.2征集文件、入围供应商的响应文件及评审过程中有关澄清、承诺文件均应作为框架协议的附件。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54"/>
      <w:r/>
      <w:bookmarkEnd w:id="155"/>
      <w:r/>
      <w:bookmarkEnd w:id="156"/>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八、入围供应商的清退和补充规则</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30.2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九、其他</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31.1严格执行政府采购关于支持</w:t>
      </w:r>
      <w:r>
        <w:rPr>
          <w:rFonts w:hint="eastAsia" w:ascii="宋体" w:hAnsi="宋体" w:eastAsia="宋体" w:cs="宋体"/>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31.2供应商对于投标产品的商品包装、快递包装应按照“关于印发《商品包装政府采购需求标准（试行）》、《快递包装政府采购需求标准（试行）》的通知”（财办库〔2020〕123号）执行。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31.3本文件中若涉及到数据中心采购，应按照《&lt;绿色数据中心政府采购需求标准（试行）&gt;的通知》（财库〔2023〕7号）执行。</w:t>
      </w:r>
      <w:r/>
    </w:p>
    <w:p>
      <w:pPr>
        <w:pStyle w:val="769"/>
        <w:ind w:firstLine="480"/>
        <w:keepLines w:val="0"/>
        <w:keepNext w:val="0"/>
        <w:pageBreakBefore w:val="0"/>
        <w:spacing w:line="480" w:lineRule="exact"/>
        <w:widowControl w:val="off"/>
        <w:rPr>
          <w:rFonts w:hint="eastAsia" w:ascii="宋体" w:hAnsi="宋体" w:eastAsia="宋体" w:cs="宋体"/>
          <w:cap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aps w:val="0"/>
          <w:color w:val="auto"/>
          <w:sz w:val="24"/>
          <w:szCs w:val="24"/>
          <w:highlight w:val="none"/>
          <w:lang w:val="en-US" w:eastAsia="zh-CN" w:bidi="ar-SA"/>
        </w:rPr>
        <w:t xml:space="preserve">31.4征集人将建立用户反馈和评价机制，接受采购人对入围供应商履行框架协议和采购合同情况的反馈与评价，并作为第二阶段直接选定成交供应商的参考。</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7" w:name="_Toc16938558"/>
      <w:r/>
      <w:bookmarkStart w:id="158" w:name="_Toc479757207"/>
      <w:r/>
      <w:bookmarkStart w:id="159" w:name="_Toc120614221"/>
      <w:r/>
      <w:bookmarkStart w:id="160" w:name="_Toc513029242"/>
      <w:r/>
      <w:bookmarkStart w:id="161" w:name="_Toc20823314"/>
      <w:r>
        <w:rPr>
          <w:rFonts w:hint="eastAsia" w:ascii="宋体" w:hAnsi="宋体" w:eastAsia="宋体" w:cs="宋体"/>
          <w:color w:val="000000" w:themeColor="text1"/>
          <w:sz w:val="24"/>
          <w:szCs w:val="24"/>
          <w:highlight w:val="none"/>
          <w14:textFill>
            <w14:solidFill>
              <w14:schemeClr w14:val="tx1"/>
            </w14:solidFill>
          </w14:textFill>
        </w:rPr>
        <w:t xml:space="preserve">3</w:t>
      </w:r>
      <w:bookmarkEnd w:id="157"/>
      <w:r/>
      <w:bookmarkEnd w:id="158"/>
      <w:r/>
      <w:bookmarkEnd w:id="159"/>
      <w:r/>
      <w:bookmarkEnd w:id="160"/>
      <w:r/>
      <w:bookmarkEnd w:id="161"/>
      <w:r>
        <w:rPr>
          <w:rFonts w:hint="eastAsia" w:ascii="宋体" w:hAnsi="宋体" w:cs="宋体"/>
          <w:color w:val="000000" w:themeColor="text1"/>
          <w:sz w:val="24"/>
          <w:szCs w:val="24"/>
          <w:highlight w:val="none"/>
          <w:lang w:val="en-US" w:eastAsia="zh-CN"/>
          <w14:textFill>
            <w14:solidFill>
              <w14:schemeClr w14:val="tx1"/>
            </w14:solidFill>
          </w14:textFill>
        </w:rPr>
        <w:t xml:space="preserve">1.5 </w:t>
      </w:r>
      <w:r>
        <w:rPr>
          <w:rFonts w:hint="eastAsia" w:ascii="宋体" w:hAnsi="宋体" w:eastAsia="宋体" w:cs="宋体"/>
          <w:color w:val="000000" w:themeColor="text1"/>
          <w:sz w:val="24"/>
          <w:szCs w:val="24"/>
          <w:highlight w:val="none"/>
          <w14:textFill>
            <w14:solidFill>
              <w14:schemeClr w14:val="tx1"/>
            </w14:solidFill>
          </w14:textFill>
        </w:rPr>
        <w:t xml:space="preserve">政府采购线上合同信用融资政策</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31.6 </w:t>
      </w:r>
      <w:r>
        <w:rPr>
          <w:rFonts w:hint="eastAsia" w:ascii="宋体" w:hAnsi="宋体" w:eastAsia="宋体" w:cs="宋体"/>
          <w:color w:val="auto"/>
          <w:sz w:val="24"/>
          <w:szCs w:val="24"/>
          <w:highlight w:val="none"/>
        </w:rPr>
        <w:t xml:space="preserve">履约保证金政策：本次征集活动不收取履约保证金</w:t>
      </w:r>
      <w:r>
        <w:rPr>
          <w:rFonts w:hint="eastAsia" w:ascii="宋体" w:hAnsi="宋体" w:cs="宋体"/>
          <w:color w:val="auto"/>
          <w:sz w:val="24"/>
          <w:szCs w:val="24"/>
          <w:highlight w:val="none"/>
          <w:lang w:eastAsia="zh-CN"/>
        </w:rPr>
        <w:t xml:space="preserve">。</w:t>
      </w:r>
      <w:r/>
    </w:p>
    <w:p>
      <w:pP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bookmarkStart w:id="162" w:name="_Toc128039580"/>
      <w:r/>
      <w:bookmarkStart w:id="163" w:name="_Toc183693304"/>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bookmarkStart w:id="164" w:name="_Toc27851"/>
      <w:r>
        <w:rPr>
          <w:rFonts w:hint="eastAsia" w:ascii="宋体" w:hAnsi="宋体" w:eastAsia="宋体" w:cs="宋体"/>
          <w:b/>
          <w:bCs/>
          <w:color w:val="000000"/>
          <w:sz w:val="32"/>
          <w:szCs w:val="32"/>
          <w:highlight w:val="none"/>
        </w:rPr>
        <w:t xml:space="preserve">第三章  框架协议文本</w:t>
      </w:r>
      <w:bookmarkEnd w:id="162"/>
      <w:r/>
      <w:bookmarkEnd w:id="163"/>
      <w:r/>
      <w:bookmarkEnd w:id="164"/>
      <w:r/>
      <w:r/>
    </w:p>
    <w:p>
      <w:pPr>
        <w:ind w:left="0" w:firstLine="904"/>
        <w:jc w:val="left"/>
        <w:keepLines w:val="0"/>
        <w:keepNext w:val="0"/>
        <w:pageBreakBefore w:val="0"/>
        <w:spacing w:line="480" w:lineRule="exact"/>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firstLine="480"/>
        <w:jc w:val="left"/>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2026-2027年度东台市党政机关、事业单位和团体组织公务用车维修和保养服务框架协议采购项目</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cs="Times New Roman"/>
          <w:color w:val="000000" w:themeColor="text1"/>
          <w:sz w:val="24"/>
          <w:szCs w:val="24"/>
          <w:highlight w:val="none"/>
          <w:lang w:eastAsia="zh-CN"/>
          <w14:textFill>
            <w14:solidFill>
              <w14:schemeClr w14:val="tx1"/>
            </w14:solidFill>
          </w14:textFill>
        </w:rPr>
        <w:t xml:space="preserve">JSZC-320981-JZCG-K2025-0029</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甲方（</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征集</w:t>
      </w:r>
      <w:r>
        <w:rPr>
          <w:rFonts w:hint="eastAsia" w:ascii="宋体" w:hAnsi="宋体" w:eastAsia="宋体" w:cs="Times New Roman"/>
          <w:color w:val="000000" w:themeColor="text1"/>
          <w:sz w:val="24"/>
          <w:szCs w:val="24"/>
          <w:highlight w:val="none"/>
          <w14:textFill>
            <w14:solidFill>
              <w14:schemeClr w14:val="tx1"/>
            </w14:solidFill>
          </w14:textFill>
        </w:rPr>
        <w:t xml:space="preserve">人）：</w:t>
      </w:r>
      <w:r>
        <w:rPr>
          <w:rFonts w:hint="eastAsia" w:ascii="宋体" w:hAnsi="宋体" w:cs="Times New Roman"/>
          <w:color w:val="000000" w:themeColor="text1"/>
          <w:sz w:val="24"/>
          <w:szCs w:val="24"/>
          <w:highlight w:val="none"/>
          <w:u w:val="single"/>
          <w:lang w:eastAsia="zh-CN"/>
          <w14:textFill>
            <w14:solidFill>
              <w14:schemeClr w14:val="tx1"/>
            </w14:solidFill>
          </w14:textFill>
        </w:rPr>
        <w:t xml:space="preserve">东台市机关事务服务中心</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乙方（入围供应商）：</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numPr>
          <w:ilvl w:val="0"/>
          <w:numId w:val="1"/>
        </w:numPr>
        <w:ind w:left="0" w:firstLine="480"/>
        <w:jc w:val="left"/>
        <w:keepLines w:val="0"/>
        <w:keepNext w:val="0"/>
        <w:pageBreakBefore w:val="0"/>
        <w:spacing w:line="480" w:lineRule="exact"/>
        <w:widowControl/>
        <w:rPr>
          <w:rFonts w:hint="eastAsia" w:ascii="宋体" w:hAnsi="宋体" w:eastAsia="宋体" w:cs="宋体"/>
          <w:b w:val="0"/>
          <w:bCs w:val="0"/>
          <w:sz w:val="24"/>
          <w:szCs w:val="24"/>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乙双方根据</w:t>
      </w:r>
      <w:r>
        <w:rPr>
          <w:rFonts w:hint="eastAsia" w:ascii="宋体" w:hAnsi="宋体"/>
          <w:color w:val="000000" w:themeColor="text1"/>
          <w:sz w:val="24"/>
          <w:szCs w:val="24"/>
          <w:highlight w:val="none"/>
          <w:lang w:eastAsia="zh-CN"/>
          <w14:textFill>
            <w14:solidFill>
              <w14:schemeClr w14:val="tx1"/>
            </w14:solidFill>
          </w14:textFill>
        </w:rPr>
        <w:t xml:space="preserve">2026-2027年度东台市党政机关、事业单位和团体组织公务用车维修和保养服务框架协议采购项目</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公开征集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的结果，签署本</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bookmarkStart w:id="165" w:name="_Toc525653729"/>
      <w:r/>
      <w:r/>
    </w:p>
    <w:p>
      <w:pPr>
        <w:pStyle w:val="769"/>
        <w:ind w:firstLine="482"/>
        <w:keepLines w:val="0"/>
        <w:keepNext w:val="0"/>
        <w:pageBreakBefore w:val="0"/>
        <w:spacing w:line="480" w:lineRule="exact"/>
        <w:rPr>
          <w:rFonts w:hint="eastAsia"/>
        </w:rPr>
      </w:pPr>
      <w:r>
        <w:rPr>
          <w:rFonts w:hint="eastAsia"/>
          <w:b/>
          <w:bCs/>
          <w:lang w:val="en-US" w:eastAsia="zh-CN"/>
        </w:rPr>
        <w:t xml:space="preserve">一、</w:t>
      </w:r>
      <w:r>
        <w:rPr>
          <w:rFonts w:hint="eastAsia"/>
          <w:b/>
          <w:bCs/>
        </w:rPr>
        <w:t xml:space="preserve">适用本次框架协议的采购人或服务对象范围：</w:t>
      </w:r>
      <w:r>
        <w:rPr>
          <w:rFonts w:hint="eastAsia"/>
          <w:b w:val="0"/>
          <w:bCs w:val="0"/>
        </w:rPr>
        <w:t xml:space="preserve">东台市党政机关、事业单位和团体组织。</w:t>
      </w:r>
      <w:r/>
    </w:p>
    <w:p>
      <w:pPr>
        <w:pStyle w:val="769"/>
        <w:ind w:firstLine="482"/>
        <w:keepLines w:val="0"/>
        <w:keepNext w:val="0"/>
        <w:pageBreakBefore w:val="0"/>
        <w:spacing w:line="480" w:lineRule="exact"/>
        <w:rPr>
          <w:rFonts w:hint="eastAsia"/>
        </w:rPr>
      </w:pPr>
      <w:r>
        <w:rPr>
          <w:rFonts w:hint="eastAsia"/>
          <w:b/>
          <w:bCs/>
          <w:lang w:val="en-US" w:eastAsia="zh-CN"/>
        </w:rPr>
        <w:t xml:space="preserve">二、维修服务内容：</w:t>
      </w:r>
      <w:r>
        <w:rPr>
          <w:rFonts w:hint="eastAsia"/>
        </w:rPr>
        <w:t xml:space="preserve">为东台市公务用车提供维修和保养服务，主要包括整车维修、维护保养、维修救援、汽车轮胎更换，做好车辆安全检查、水电气检查等服务，有安全隐患的车辆及时提出维修方案，做好车辆检查台账。</w:t>
      </w:r>
      <w:r/>
    </w:p>
    <w:p>
      <w:pPr>
        <w:numPr>
          <w:ilvl w:val="-1"/>
          <w:numId w:val="0"/>
        </w:numPr>
        <w:ind w:left="0" w:firstLine="482"/>
        <w:jc w:val="left"/>
        <w:keepLines w:val="0"/>
        <w:keepNext w:val="0"/>
        <w:pageBreakBefore w:val="0"/>
        <w:spacing w:line="480" w:lineRule="exact"/>
        <w:widowControl/>
        <w:rPr>
          <w:rFonts w:hint="eastAsia" w:ascii="宋体" w:hAnsi="宋体" w:cs="宋体"/>
          <w:b w:val="0"/>
          <w:bCs w:val="0"/>
          <w:sz w:val="24"/>
          <w:szCs w:val="24"/>
          <w:lang w:val="en-US" w:eastAsia="zh-CN"/>
        </w:rPr>
        <w:outlineLvl w:val="9"/>
      </w:pPr>
      <w:r>
        <w:rPr>
          <w:rFonts w:hint="eastAsia" w:ascii="宋体" w:hAnsi="宋体" w:eastAsia="宋体" w:cs="Times New Roman"/>
          <w:b/>
          <w:bCs/>
          <w:caps/>
          <w:sz w:val="24"/>
          <w:szCs w:val="21"/>
          <w:lang w:val="en-US" w:eastAsia="zh-CN" w:bidi="ar-SA"/>
        </w:rPr>
        <w:t xml:space="preserve">三、确定第二阶段成交供应商的方式</w:t>
      </w:r>
      <w:r/>
    </w:p>
    <w:p>
      <w:pPr>
        <w:numPr>
          <w:ilvl w:val="-1"/>
          <w:numId w:val="0"/>
        </w:numPr>
        <w:ind w:left="0" w:firstLine="480"/>
        <w:jc w:val="left"/>
        <w:keepLines w:val="0"/>
        <w:keepNext w:val="0"/>
        <w:pageBreakBefore w:val="0"/>
        <w:spacing w:line="480" w:lineRule="exact"/>
        <w:widowControl/>
        <w:rPr>
          <w:rFonts w:hint="eastAsia" w:ascii="宋体" w:hAnsi="宋体" w:cs="宋体"/>
          <w:b w:val="0"/>
          <w:bCs w:val="0"/>
          <w:sz w:val="24"/>
          <w:szCs w:val="24"/>
          <w:lang w:val="en-US" w:eastAsia="zh-CN"/>
        </w:rPr>
        <w:outlineLvl w:val="9"/>
      </w:pPr>
      <w:r>
        <w:rPr>
          <w:rFonts w:hint="eastAsia" w:ascii="宋体" w:hAnsi="宋体" w:cs="宋体"/>
          <w:b w:val="0"/>
          <w:bCs w:val="0"/>
          <w:sz w:val="24"/>
          <w:szCs w:val="24"/>
          <w:lang w:val="en-US"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numPr>
          <w:ilvl w:val="-1"/>
          <w:numId w:val="0"/>
        </w:numPr>
        <w:ind w:left="0" w:firstLine="480"/>
        <w:jc w:val="left"/>
        <w:keepLines w:val="0"/>
        <w:keepNext w:val="0"/>
        <w:pageBreakBefore w:val="0"/>
        <w:spacing w:line="480" w:lineRule="exact"/>
        <w:widowControl/>
        <w:rPr>
          <w:rFonts w:hint="eastAsia" w:ascii="宋体" w:hAnsi="宋体" w:cs="宋体"/>
          <w:b w:val="0"/>
          <w:bCs w:val="0"/>
          <w:sz w:val="24"/>
          <w:szCs w:val="24"/>
          <w:lang w:val="en-US" w:eastAsia="zh-CN"/>
        </w:rPr>
        <w:outlineLvl w:val="9"/>
      </w:pPr>
      <w:r>
        <w:rPr>
          <w:rFonts w:hint="eastAsia" w:ascii="宋体" w:hAnsi="宋体" w:cs="宋体"/>
          <w:b w:val="0"/>
          <w:bCs w:val="0"/>
          <w:sz w:val="24"/>
          <w:szCs w:val="24"/>
          <w:lang w:val="en-US" w:eastAsia="zh-CN"/>
        </w:rPr>
        <w:t xml:space="preserve">2、采购人在确定成交供应商后，双方应当按照“采购合同文本</w:t>
      </w:r>
      <w:r>
        <w:rPr>
          <w:rFonts w:hint="eastAsia" w:ascii="宋体" w:hAnsi="宋体" w:cs="宋体"/>
          <w:b w:val="0"/>
          <w:bCs w:val="0"/>
          <w:color w:val="auto"/>
          <w:sz w:val="24"/>
          <w:szCs w:val="24"/>
          <w:lang w:val="en-US" w:eastAsia="zh-CN"/>
        </w:rPr>
        <w:t xml:space="preserve">（第二阶段）</w:t>
      </w:r>
      <w:r>
        <w:rPr>
          <w:rFonts w:hint="eastAsia" w:ascii="宋体" w:hAnsi="宋体" w:cs="宋体"/>
          <w:b w:val="0"/>
          <w:bCs w:val="0"/>
          <w:sz w:val="24"/>
          <w:szCs w:val="24"/>
          <w:lang w:val="en-US" w:eastAsia="zh-CN"/>
        </w:rPr>
        <w:t xml:space="preserve">”格式签订采购合同，不得擅自改变框架协议约定的合同实质性条款。</w:t>
      </w:r>
      <w:r/>
    </w:p>
    <w:p>
      <w:pPr>
        <w:numPr>
          <w:ilvl w:val="-1"/>
          <w:numId w:val="0"/>
        </w:numPr>
        <w:ind w:left="0" w:firstLine="482"/>
        <w:jc w:val="left"/>
        <w:keepLines w:val="0"/>
        <w:keepNext w:val="0"/>
        <w:pageBreakBefore w:val="0"/>
        <w:spacing w:line="480" w:lineRule="exact"/>
        <w:widowControl/>
        <w:rPr>
          <w:rFonts w:hint="eastAsia" w:ascii="宋体" w:hAnsi="宋体" w:eastAsia="宋体" w:cs="宋体"/>
          <w:b w:val="0"/>
          <w:bCs w:val="0"/>
          <w:sz w:val="24"/>
          <w:szCs w:val="24"/>
        </w:rPr>
        <w:outlineLvl w:val="9"/>
      </w:pPr>
      <w:r>
        <w:rPr>
          <w:rFonts w:hint="eastAsia" w:ascii="宋体" w:hAnsi="宋体" w:eastAsia="宋体" w:cs="Times New Roman"/>
          <w:b/>
          <w:bCs/>
          <w:caps/>
          <w:sz w:val="24"/>
          <w:szCs w:val="21"/>
          <w:lang w:val="en-US" w:eastAsia="zh-CN" w:bidi="ar-SA"/>
        </w:rPr>
        <w:t xml:space="preserve">四、送修手续</w:t>
      </w:r>
      <w:bookmarkEnd w:id="165"/>
      <w:r/>
      <w:r/>
    </w:p>
    <w:p>
      <w:pPr>
        <w:numPr>
          <w:ilvl w:val="0"/>
          <w:numId w:val="0"/>
        </w:numPr>
        <w:ind w:firstLine="480"/>
        <w:jc w:val="left"/>
        <w:keepLines w:val="0"/>
        <w:keepNext w:val="0"/>
        <w:pageBreakBefore w:val="0"/>
        <w:spacing w:line="480" w:lineRule="exact"/>
        <w:widowControl/>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送修方送修车辆时必须填写</w:t>
      </w:r>
      <w:r>
        <w:rPr>
          <w:rFonts w:hint="eastAsia" w:ascii="宋体" w:hAnsi="宋体" w:eastAsia="宋体" w:cs="宋体"/>
          <w:b w:val="0"/>
          <w:bCs w:val="0"/>
          <w:color w:val="auto"/>
          <w:sz w:val="24"/>
          <w:szCs w:val="24"/>
        </w:rPr>
        <w:t xml:space="preserve">“委托修理单”（以下简称送修单）</w:t>
      </w:r>
      <w:r>
        <w:rPr>
          <w:rFonts w:hint="eastAsia" w:ascii="宋体" w:hAnsi="宋体" w:eastAsia="宋体" w:cs="宋体"/>
          <w:b w:val="0"/>
          <w:bCs w:val="0"/>
          <w:sz w:val="24"/>
          <w:szCs w:val="24"/>
        </w:rPr>
        <w:t xml:space="preserve">。送修单上应注明送修车辆的品牌型号、车辆牌照号、发动机号码、底盘号码，并经送修单位审核和加盖送修单位公章，同时需将行驶证提交给乙方。</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乙方应对送修车辆进行仔细检查，并根据需要维修的项目和标准在送修单上注明维修总费用。</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乙方必须在送修单上注明完成维修的时间。</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在维修过程中，乙方如发现其他故障需增加维修项目或延长维修时间，</w:t>
      </w:r>
      <w:r>
        <w:rPr>
          <w:rFonts w:hint="eastAsia" w:ascii="宋体" w:hAnsi="宋体" w:cs="宋体"/>
          <w:b w:val="0"/>
          <w:bCs w:val="0"/>
          <w:sz w:val="24"/>
          <w:szCs w:val="24"/>
          <w:lang w:eastAsia="zh-CN"/>
        </w:rPr>
        <w:t xml:space="preserve">应及时通知送修方，</w:t>
      </w:r>
      <w:r>
        <w:rPr>
          <w:rFonts w:hint="eastAsia" w:ascii="宋体" w:hAnsi="宋体" w:cs="宋体"/>
          <w:b w:val="0"/>
          <w:bCs w:val="0"/>
          <w:color w:val="auto"/>
          <w:sz w:val="24"/>
          <w:szCs w:val="24"/>
          <w:lang w:val="en-US" w:eastAsia="zh-CN"/>
        </w:rPr>
        <w:t xml:space="preserve">经送修方同意后方可维修。</w:t>
      </w:r>
      <w:r>
        <w:rPr>
          <w:rFonts w:hint="eastAsia" w:ascii="宋体" w:hAnsi="宋体" w:eastAsia="宋体" w:cs="宋体"/>
          <w:b w:val="0"/>
          <w:bCs w:val="0"/>
          <w:sz w:val="24"/>
          <w:szCs w:val="24"/>
        </w:rPr>
        <w:t xml:space="preserve"> </w:t>
      </w:r>
      <w:r/>
    </w:p>
    <w:p>
      <w:pPr>
        <w:ind w:firstLine="480"/>
        <w:jc w:val="both"/>
        <w:keepLines w:val="0"/>
        <w:keepNext w:val="0"/>
        <w:pageBreakBefore w:val="0"/>
        <w:spacing w:line="480" w:lineRule="exact"/>
        <w:widowControl w:val="off"/>
        <w:rPr>
          <w:rFonts w:hint="eastAsia" w:eastAsia="宋体"/>
          <w:lang w:val="en-US" w:eastAsia="zh-CN"/>
        </w:rPr>
      </w:pPr>
      <w:r>
        <w:rPr>
          <w:rFonts w:hint="eastAsia" w:ascii="宋体" w:hAnsi="宋体" w:eastAsia="宋体" w:cs="宋体"/>
          <w:b w:val="0"/>
          <w:bCs w:val="0"/>
          <w:sz w:val="24"/>
          <w:szCs w:val="24"/>
          <w:lang w:val="en-US" w:eastAsia="zh-CN"/>
        </w:rPr>
        <w:t xml:space="preserve">5、</w:t>
      </w:r>
      <w:r>
        <w:rPr>
          <w:rFonts w:hint="eastAsia" w:cs="宋体"/>
          <w:b w:val="0"/>
          <w:bCs w:val="0"/>
          <w:sz w:val="24"/>
          <w:szCs w:val="24"/>
          <w:lang w:val="en-US" w:eastAsia="zh-CN"/>
        </w:rPr>
        <w:t xml:space="preserve">服务结束后，</w:t>
      </w:r>
      <w:r>
        <w:rPr>
          <w:rFonts w:hint="eastAsia" w:cs="宋体"/>
          <w:b w:val="0"/>
          <w:bCs w:val="0"/>
          <w:color w:val="auto"/>
          <w:sz w:val="24"/>
          <w:szCs w:val="24"/>
          <w:lang w:val="en-US" w:eastAsia="zh-CN"/>
        </w:rPr>
        <w:t xml:space="preserve">供应商应将双发签字盖章确认的费用结算单信息录入“盐城市</w:t>
      </w:r>
      <w:r>
        <w:rPr>
          <w:rFonts w:hint="eastAsia" w:cs="宋体"/>
          <w:b w:val="0"/>
          <w:bCs w:val="0"/>
          <w:sz w:val="24"/>
          <w:szCs w:val="24"/>
          <w:lang w:val="en-US" w:eastAsia="zh-CN"/>
        </w:rPr>
        <w:t xml:space="preserve">公务用车管理平台-维保管理模块”。</w:t>
      </w:r>
      <w:r/>
    </w:p>
    <w:p>
      <w:pPr>
        <w:ind w:firstLine="482"/>
        <w:jc w:val="both"/>
        <w:keepLines w:val="0"/>
        <w:keepNext w:val="0"/>
        <w:pageBreakBefore w:val="0"/>
        <w:spacing w:line="480" w:lineRule="exact"/>
        <w:widowControl w:val="off"/>
        <w:rPr>
          <w:rFonts w:hint="eastAsia" w:ascii="宋体" w:hAnsi="宋体" w:eastAsia="宋体" w:cs="宋体"/>
          <w:b w:val="0"/>
          <w:bCs w:val="0"/>
          <w:sz w:val="24"/>
          <w:szCs w:val="24"/>
        </w:rPr>
        <w:outlineLvl w:val="0"/>
      </w:pPr>
      <w:r/>
      <w:bookmarkStart w:id="166" w:name="_Toc5545"/>
      <w:r/>
      <w:bookmarkStart w:id="167" w:name="_Toc525653730"/>
      <w:r>
        <w:rPr>
          <w:rFonts w:hint="eastAsia" w:ascii="宋体" w:hAnsi="宋体" w:eastAsia="宋体" w:cs="Times New Roman"/>
          <w:b/>
          <w:bCs/>
          <w:caps/>
          <w:sz w:val="24"/>
          <w:szCs w:val="21"/>
          <w:lang w:val="en-US" w:eastAsia="zh-CN" w:bidi="ar-SA"/>
        </w:rPr>
        <w:t xml:space="preserve">五、维修费用</w:t>
      </w:r>
      <w:bookmarkEnd w:id="166"/>
      <w:r/>
      <w:bookmarkEnd w:id="167"/>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乙方入围报价：工时单价</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材料进销差价率：</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 xml:space="preserve">。</w:t>
      </w:r>
      <w:r/>
    </w:p>
    <w:p>
      <w:pPr>
        <w:pStyle w:val="927"/>
        <w:ind w:firstLine="480"/>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hAnsi="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bidi="ar-SA"/>
        </w:rPr>
        <w:t xml:space="preserve">维修结算总费用=工时费用（工时单价×工时定额）＋材料费用[材料购进价格×（1＋材料进销差价率%）]。上述所有费用均为含税价。</w:t>
      </w:r>
      <w:r/>
    </w:p>
    <w:p>
      <w:pPr>
        <w:pStyle w:val="927"/>
        <w:ind w:firstLine="480"/>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hAnsi="宋体" w:cs="宋体"/>
          <w:b w:val="0"/>
          <w:bCs w:val="0"/>
          <w:sz w:val="24"/>
          <w:szCs w:val="24"/>
          <w:lang w:val="en-US" w:eastAsia="zh-CN" w:bidi="ar-SA"/>
        </w:rPr>
        <w:t xml:space="preserve">3、</w:t>
      </w:r>
      <w:r>
        <w:rPr>
          <w:rFonts w:hint="eastAsia" w:ascii="宋体" w:hAnsi="宋体" w:eastAsia="宋体" w:cs="宋体"/>
          <w:b w:val="0"/>
          <w:bCs w:val="0"/>
          <w:sz w:val="24"/>
          <w:szCs w:val="24"/>
          <w:lang w:val="en-US" w:eastAsia="zh-CN" w:bidi="ar-SA"/>
        </w:rPr>
        <w:t xml:space="preserve">工时定额按《江苏省机动车维修结算工时定额与收费指南》（2014版）执行。</w:t>
      </w:r>
      <w:r/>
    </w:p>
    <w:p>
      <w:pPr>
        <w:pStyle w:val="927"/>
        <w:ind w:firstLine="480"/>
        <w:keepLines w:val="0"/>
        <w:keepNext w:val="0"/>
        <w:pageBreakBefore w:val="0"/>
        <w:spacing w:line="480" w:lineRule="exact"/>
        <w:widowControl w:val="off"/>
        <w:rPr>
          <w:rFonts w:hint="eastAsia" w:hAnsi="宋体" w:cs="宋体"/>
          <w:b w:val="0"/>
          <w:bCs w:val="0"/>
          <w:sz w:val="24"/>
          <w:szCs w:val="24"/>
          <w:lang w:val="en-US" w:eastAsia="zh-CN" w:bidi="ar-SA"/>
        </w:rPr>
      </w:pPr>
      <w:r>
        <w:rPr>
          <w:rFonts w:hint="eastAsia" w:hAnsi="宋体" w:cs="宋体"/>
          <w:b w:val="0"/>
          <w:bCs w:val="0"/>
          <w:sz w:val="24"/>
          <w:szCs w:val="24"/>
          <w:lang w:val="en-US" w:eastAsia="zh-CN" w:bidi="ar-SA"/>
        </w:rPr>
        <w:t xml:space="preserve">4、乙方需提供《江苏省机动车维修结算工时定额与收费指南》（2014版）和材料购进价凭证给采购人，便于送修方对价格的直接查询、核对，另也要将工时单价、材料进销差价率与结算有关的制度告知送修方。</w:t>
      </w:r>
      <w:r/>
    </w:p>
    <w:p>
      <w:pPr>
        <w:pStyle w:val="927"/>
        <w:ind w:firstLine="480"/>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hAnsi="宋体" w:cs="宋体"/>
          <w:b w:val="0"/>
          <w:bCs w:val="0"/>
          <w:sz w:val="24"/>
          <w:szCs w:val="24"/>
          <w:lang w:val="en-US" w:eastAsia="zh-CN" w:bidi="ar-SA"/>
        </w:rPr>
        <w:t xml:space="preserve">5、</w:t>
      </w:r>
      <w:r>
        <w:rPr>
          <w:rFonts w:hint="eastAsia" w:ascii="宋体" w:hAnsi="宋体" w:eastAsia="宋体" w:cs="宋体"/>
          <w:b w:val="0"/>
          <w:bCs w:val="0"/>
          <w:sz w:val="24"/>
          <w:szCs w:val="24"/>
          <w:lang w:val="en-US" w:eastAsia="zh-CN" w:bidi="ar-SA"/>
        </w:rPr>
        <w:t xml:space="preserve">乙方履行合同后，经</w:t>
      </w:r>
      <w:r>
        <w:rPr>
          <w:rFonts w:hint="eastAsia" w:hAnsi="宋体" w:cs="宋体"/>
          <w:b w:val="0"/>
          <w:bCs w:val="0"/>
          <w:sz w:val="24"/>
          <w:szCs w:val="24"/>
          <w:lang w:val="en-US" w:eastAsia="zh-CN" w:bidi="ar-SA"/>
        </w:rPr>
        <w:t xml:space="preserve">送</w:t>
      </w:r>
      <w:r>
        <w:rPr>
          <w:rFonts w:hint="eastAsia" w:ascii="宋体" w:hAnsi="宋体" w:eastAsia="宋体" w:cs="宋体"/>
          <w:b w:val="0"/>
          <w:bCs w:val="0"/>
          <w:sz w:val="24"/>
          <w:szCs w:val="24"/>
          <w:lang w:val="en-US" w:eastAsia="zh-CN" w:bidi="ar-SA"/>
        </w:rPr>
        <w:t xml:space="preserve">修方验收合格并签字确认后，依据采购合同的约定与</w:t>
      </w:r>
      <w:r>
        <w:rPr>
          <w:rFonts w:hint="eastAsia" w:hAnsi="宋体" w:cs="宋体"/>
          <w:b w:val="0"/>
          <w:bCs w:val="0"/>
          <w:sz w:val="24"/>
          <w:szCs w:val="24"/>
          <w:lang w:val="en-US" w:eastAsia="zh-CN" w:bidi="ar-SA"/>
        </w:rPr>
        <w:t xml:space="preserve">送修方</w:t>
      </w:r>
      <w:r>
        <w:rPr>
          <w:rFonts w:hint="eastAsia" w:ascii="宋体" w:hAnsi="宋体" w:eastAsia="宋体" w:cs="宋体"/>
          <w:b w:val="0"/>
          <w:bCs w:val="0"/>
          <w:sz w:val="24"/>
          <w:szCs w:val="24"/>
          <w:lang w:val="en-US" w:eastAsia="zh-CN" w:bidi="ar-SA"/>
        </w:rPr>
        <w:t xml:space="preserve">进行费用结算。</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6、</w:t>
      </w:r>
      <w:r>
        <w:rPr>
          <w:rFonts w:hint="eastAsia" w:ascii="宋体" w:hAnsi="宋体" w:eastAsia="宋体" w:cs="宋体"/>
          <w:b w:val="0"/>
          <w:bCs w:val="0"/>
          <w:sz w:val="24"/>
          <w:szCs w:val="24"/>
          <w:lang w:val="en-US" w:eastAsia="zh-CN" w:bidi="ar-SA"/>
        </w:rPr>
        <w:t xml:space="preserve">未尽事项见江苏省质量技术监督局发布的《机动车维修费用结算规范》（DB 32/T 2665-2014）。</w:t>
      </w:r>
      <w:r/>
    </w:p>
    <w:p>
      <w:pPr>
        <w:ind w:firstLine="480"/>
        <w:jc w:val="both"/>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送修车辆15公里内免费拖车施救，过路过桥费、燃油费全免，免费对维修的车辆进行洗车。送修车辆15公里外按每公里2元计算（往返双程计算），由送修方承担（该费用不包含在维修费用内）。</w:t>
      </w:r>
      <w:r/>
    </w:p>
    <w:p>
      <w:pPr>
        <w:ind w:firstLine="482"/>
        <w:jc w:val="both"/>
        <w:keepLines w:val="0"/>
        <w:keepNext w:val="0"/>
        <w:pageBreakBefore w:val="0"/>
        <w:spacing w:line="480" w:lineRule="exact"/>
        <w:widowControl w:val="off"/>
        <w:rPr>
          <w:rFonts w:hint="default" w:ascii="宋体" w:hAnsi="宋体" w:eastAsia="宋体" w:cs="宋体"/>
          <w:b w:val="0"/>
          <w:bCs w:val="0"/>
          <w:color w:val="ff0000"/>
          <w:sz w:val="24"/>
          <w:szCs w:val="24"/>
          <w:lang w:val="en-US" w:eastAsia="zh-CN"/>
        </w:rPr>
        <w:outlineLvl w:val="0"/>
      </w:pPr>
      <w:r/>
      <w:bookmarkStart w:id="168" w:name="_Toc525653731"/>
      <w:r/>
      <w:bookmarkStart w:id="169" w:name="_Toc23738"/>
      <w:r>
        <w:rPr>
          <w:rFonts w:hint="eastAsia" w:ascii="宋体" w:hAnsi="宋体" w:eastAsia="宋体" w:cs="Times New Roman"/>
          <w:b/>
          <w:bCs/>
          <w:caps/>
          <w:sz w:val="24"/>
          <w:szCs w:val="21"/>
          <w:lang w:val="en-US" w:eastAsia="zh-CN" w:bidi="ar-SA"/>
        </w:rPr>
        <w:t xml:space="preserve">六、</w:t>
      </w:r>
      <w:bookmarkEnd w:id="168"/>
      <w:r>
        <w:rPr>
          <w:rFonts w:hint="eastAsia" w:ascii="宋体" w:hAnsi="宋体" w:eastAsia="宋体" w:cs="Times New Roman"/>
          <w:b/>
          <w:bCs/>
          <w:caps/>
          <w:sz w:val="24"/>
          <w:szCs w:val="21"/>
          <w:lang w:val="en-US" w:eastAsia="zh-CN" w:bidi="ar-SA"/>
        </w:rPr>
        <w:t xml:space="preserve">维修服务</w:t>
      </w:r>
      <w:bookmarkEnd w:id="169"/>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保证送修方获得优先服务的权利，做到随到随修，急用急修，小修不过夜，大修不超过预定期限，保证托修方及时用车。</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须承诺应设有24小时服务电话，在接到送修的采购人报修电话后半小时内予以响应，并能免费提供上门维修服务。</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须承诺应为送修的采购人提供紧急救援服务，配备有明显标志的抢修车，东台市区范围内应能在1小时内派人赶到救援现场。</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车辆修理：</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auto"/>
          <w:sz w:val="24"/>
          <w:szCs w:val="24"/>
        </w:rPr>
        <w:t xml:space="preserve"> 送修车辆以修复为原则，但涉及车辆行车安全的关键零部件(如：刹车系统、转向系统)，发生损坏经送修方确认后一律予以更换。维修车辆更换零部件应为原车辆使用件的原品牌、原产地、原型号的全新原厂件。更换零配件的旧品，供应商不得扣留，</w:t>
      </w:r>
      <w:r>
        <w:rPr>
          <w:rFonts w:hint="eastAsia" w:ascii="宋体" w:hAnsi="宋体" w:cs="宋体"/>
          <w:b w:val="0"/>
          <w:bCs w:val="0"/>
          <w:color w:val="auto"/>
          <w:sz w:val="24"/>
          <w:szCs w:val="24"/>
          <w:lang w:eastAsia="zh-CN"/>
        </w:rPr>
        <w:t xml:space="preserve">原则上由驾驶人员（送修人员）带回单位</w:t>
      </w:r>
      <w:r>
        <w:rPr>
          <w:rFonts w:hint="eastAsia" w:ascii="宋体" w:hAnsi="宋体" w:eastAsia="宋体" w:cs="宋体"/>
          <w:b w:val="0"/>
          <w:bCs w:val="0"/>
          <w:color w:val="auto"/>
          <w:sz w:val="24"/>
          <w:szCs w:val="24"/>
        </w:rPr>
        <w:t xml:space="preserve">，由送修单位复核验证留存。大修车辆根据管理要求须履行相关手续。</w:t>
      </w:r>
      <w:r/>
    </w:p>
    <w:p>
      <w:pPr>
        <w:ind w:firstLine="482"/>
        <w:jc w:val="both"/>
        <w:keepLines w:val="0"/>
        <w:keepNext w:val="0"/>
        <w:pageBreakBefore w:val="0"/>
        <w:spacing w:line="480" w:lineRule="exact"/>
        <w:widowControl w:val="off"/>
        <w:rPr>
          <w:rFonts w:hint="eastAsia" w:ascii="宋体" w:hAnsi="宋体" w:eastAsia="宋体" w:cs="宋体"/>
          <w:b w:val="0"/>
          <w:bCs w:val="0"/>
          <w:sz w:val="24"/>
          <w:szCs w:val="24"/>
        </w:rPr>
        <w:outlineLvl w:val="0"/>
      </w:pPr>
      <w:r/>
      <w:bookmarkStart w:id="170" w:name="_Toc525653732"/>
      <w:r/>
      <w:bookmarkStart w:id="171" w:name="_Toc8567"/>
      <w:r>
        <w:rPr>
          <w:rFonts w:hint="eastAsia" w:ascii="宋体" w:hAnsi="宋体" w:eastAsia="宋体" w:cs="Times New Roman"/>
          <w:b/>
          <w:bCs/>
          <w:caps/>
          <w:sz w:val="24"/>
          <w:szCs w:val="21"/>
          <w:lang w:val="en-US" w:eastAsia="zh-CN" w:bidi="ar-SA"/>
        </w:rPr>
        <w:t xml:space="preserve">七、结算方式</w:t>
      </w:r>
      <w:bookmarkEnd w:id="170"/>
      <w:r/>
      <w:bookmarkEnd w:id="171"/>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cs="宋体"/>
          <w:b w:val="0"/>
          <w:bCs w:val="0"/>
          <w:sz w:val="24"/>
          <w:szCs w:val="24"/>
          <w:lang w:val="en-US" w:eastAsia="zh-CN"/>
        </w:rPr>
        <w:t xml:space="preserve">采购</w:t>
      </w:r>
      <w:r>
        <w:rPr>
          <w:rFonts w:hint="eastAsia" w:ascii="宋体" w:hAnsi="宋体" w:eastAsia="宋体" w:cs="宋体"/>
          <w:b w:val="0"/>
          <w:bCs w:val="0"/>
          <w:sz w:val="24"/>
          <w:szCs w:val="24"/>
          <w:lang w:eastAsia="zh-CN"/>
        </w:rPr>
        <w:t xml:space="preserve">合同</w:t>
      </w:r>
      <w:r>
        <w:rPr>
          <w:rFonts w:hint="eastAsia" w:ascii="宋体" w:hAnsi="宋体" w:eastAsia="宋体" w:cs="宋体"/>
          <w:b w:val="0"/>
          <w:bCs w:val="0"/>
          <w:sz w:val="24"/>
          <w:szCs w:val="24"/>
        </w:rPr>
        <w:t xml:space="preserve">以人民币付款。</w:t>
      </w:r>
      <w:r/>
    </w:p>
    <w:p>
      <w:pPr>
        <w:pStyle w:val="920"/>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val="0"/>
          <w:bCs w:val="0"/>
          <w:color w:val="auto"/>
          <w:sz w:val="24"/>
          <w:szCs w:val="24"/>
          <w:lang w:val="en-US" w:eastAsia="zh-CN"/>
        </w:rPr>
        <w:t xml:space="preserve">2、合同签订后，送修方收到预付款发票后</w:t>
      </w:r>
      <w:r>
        <w:rPr>
          <w:rFonts w:hint="eastAsia" w:hAnsi="宋体" w:cs="宋体"/>
          <w:b w:val="0"/>
          <w:bCs w:val="0"/>
          <w:color w:val="auto"/>
          <w:sz w:val="24"/>
          <w:szCs w:val="24"/>
          <w:lang w:val="en-US" w:eastAsia="zh-CN"/>
        </w:rPr>
        <w:t xml:space="preserve">10</w:t>
      </w:r>
      <w:r>
        <w:rPr>
          <w:rFonts w:hint="eastAsia" w:ascii="宋体" w:hAnsi="宋体" w:eastAsia="宋体" w:cs="宋体"/>
          <w:b w:val="0"/>
          <w:bCs w:val="0"/>
          <w:color w:val="auto"/>
          <w:sz w:val="24"/>
          <w:szCs w:val="24"/>
          <w:lang w:val="en-US" w:eastAsia="zh-CN"/>
        </w:rPr>
        <w:t xml:space="preserve">个工作日内支付30%预付款（如乙方明确表示不需预付款，送修方将不执行本条款）。</w:t>
      </w:r>
      <w:r/>
    </w:p>
    <w:p>
      <w:pPr>
        <w:ind w:firstLine="480"/>
        <w:jc w:val="both"/>
        <w:keepLines w:val="0"/>
        <w:keepNext w:val="0"/>
        <w:pageBreakBefore w:val="0"/>
        <w:spacing w:line="480" w:lineRule="exact"/>
        <w:widowControl w:val="off"/>
        <w:rPr>
          <w:rFonts w:hint="eastAsia" w:ascii="宋体" w:hAnsi="宋体" w:eastAsia="宋体" w:cs="宋体"/>
          <w:b/>
          <w:bCs/>
          <w:sz w:val="24"/>
          <w:szCs w:val="24"/>
          <w:highlight w:val="red"/>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送修方</w:t>
      </w:r>
      <w:r>
        <w:rPr>
          <w:rFonts w:hint="eastAsia" w:ascii="宋体" w:hAnsi="宋体" w:eastAsia="宋体" w:cs="宋体"/>
          <w:b w:val="0"/>
          <w:bCs w:val="0"/>
          <w:color w:val="auto"/>
          <w:sz w:val="24"/>
          <w:szCs w:val="24"/>
          <w:highlight w:val="none"/>
        </w:rPr>
        <w:t xml:space="preserve">应</w:t>
      </w:r>
      <w:r>
        <w:rPr>
          <w:rFonts w:hint="eastAsia" w:ascii="宋体" w:hAnsi="宋体" w:cs="宋体"/>
          <w:b w:val="0"/>
          <w:bCs w:val="0"/>
          <w:color w:val="auto"/>
          <w:sz w:val="24"/>
          <w:szCs w:val="24"/>
          <w:highlight w:val="none"/>
          <w:lang w:val="en-US" w:eastAsia="zh-CN"/>
        </w:rPr>
        <w:t xml:space="preserve">定期</w:t>
      </w:r>
      <w:r>
        <w:rPr>
          <w:rFonts w:hint="eastAsia" w:ascii="宋体" w:hAnsi="宋体" w:eastAsia="宋体" w:cs="宋体"/>
          <w:b w:val="0"/>
          <w:bCs w:val="0"/>
          <w:color w:val="auto"/>
          <w:sz w:val="24"/>
          <w:szCs w:val="24"/>
          <w:highlight w:val="none"/>
        </w:rPr>
        <w:t xml:space="preserve">与乙方结算</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结算时乙方应向</w:t>
      </w:r>
      <w:r>
        <w:rPr>
          <w:rFonts w:hint="eastAsia" w:ascii="宋体" w:hAnsi="宋体" w:eastAsia="宋体" w:cs="宋体"/>
          <w:b w:val="0"/>
          <w:bCs w:val="0"/>
          <w:color w:val="auto"/>
          <w:sz w:val="24"/>
          <w:szCs w:val="24"/>
          <w:highlight w:val="none"/>
          <w:lang w:eastAsia="zh-CN"/>
        </w:rPr>
        <w:t xml:space="preserve">送修方</w:t>
      </w:r>
      <w:r>
        <w:rPr>
          <w:rFonts w:hint="eastAsia" w:ascii="宋体" w:hAnsi="宋体" w:eastAsia="宋体" w:cs="宋体"/>
          <w:b w:val="0"/>
          <w:bCs w:val="0"/>
          <w:color w:val="auto"/>
          <w:sz w:val="24"/>
          <w:szCs w:val="24"/>
          <w:highlight w:val="none"/>
        </w:rPr>
        <w:t xml:space="preserve">提供正式的维修发票</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材料购进价格凭证、</w:t>
      </w:r>
      <w:r>
        <w:rPr>
          <w:rFonts w:hint="eastAsia" w:ascii="宋体" w:hAnsi="宋体" w:eastAsia="宋体" w:cs="宋体"/>
          <w:b w:val="0"/>
          <w:bCs w:val="0"/>
          <w:color w:val="auto"/>
          <w:sz w:val="24"/>
          <w:szCs w:val="24"/>
          <w:highlight w:val="none"/>
        </w:rPr>
        <w:t xml:space="preserve">每次维修的送修单和“结算单”</w:t>
      </w:r>
      <w:r>
        <w:rPr>
          <w:rFonts w:hint="eastAsia" w:ascii="宋体" w:hAnsi="宋体" w:cs="宋体"/>
          <w:b w:val="0"/>
          <w:bCs w:val="0"/>
          <w:color w:val="auto"/>
          <w:sz w:val="24"/>
          <w:szCs w:val="24"/>
          <w:highlight w:val="none"/>
          <w:lang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维修费用应按实际发生额结算且经审核。</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highlight w:val="none"/>
          <w:lang w:eastAsia="zh-CN"/>
        </w:rPr>
        <w:t xml:space="preserve">送修方</w:t>
      </w:r>
      <w:r>
        <w:rPr>
          <w:rFonts w:hint="eastAsia" w:ascii="宋体" w:hAnsi="宋体" w:eastAsia="宋体" w:cs="宋体"/>
          <w:b w:val="0"/>
          <w:bCs w:val="0"/>
          <w:sz w:val="24"/>
          <w:szCs w:val="24"/>
        </w:rPr>
        <w:t xml:space="preserve">按财政等部门（或单位）规定对有关单据进行审核，审核无误后，按约定向乙方支付有关费用。</w:t>
      </w:r>
      <w:r/>
    </w:p>
    <w:p>
      <w:pPr>
        <w:ind w:firstLine="482"/>
        <w:jc w:val="both"/>
        <w:keepLines w:val="0"/>
        <w:keepNext w:val="0"/>
        <w:pageBreakBefore w:val="0"/>
        <w:spacing w:line="480" w:lineRule="exact"/>
        <w:widowControl w:val="off"/>
        <w:rPr>
          <w:rFonts w:hint="eastAsia" w:ascii="宋体" w:hAnsi="宋体" w:eastAsia="宋体" w:cs="宋体"/>
          <w:b w:val="0"/>
          <w:bCs w:val="0"/>
          <w:sz w:val="24"/>
          <w:szCs w:val="24"/>
          <w:lang w:eastAsia="zh-CN"/>
        </w:rPr>
        <w:outlineLvl w:val="0"/>
      </w:pPr>
      <w:r/>
      <w:bookmarkStart w:id="172" w:name="_Toc525653733"/>
      <w:r/>
      <w:bookmarkStart w:id="173" w:name="_Toc10403"/>
      <w:r>
        <w:rPr>
          <w:rFonts w:hint="eastAsia" w:ascii="宋体" w:hAnsi="宋体" w:eastAsia="宋体" w:cs="Times New Roman"/>
          <w:b/>
          <w:bCs/>
          <w:caps/>
          <w:sz w:val="24"/>
          <w:szCs w:val="21"/>
          <w:lang w:val="en-US" w:eastAsia="zh-CN" w:bidi="ar-SA"/>
        </w:rPr>
        <w:t xml:space="preserve">八、质量</w:t>
      </w:r>
      <w:bookmarkEnd w:id="172"/>
      <w:r>
        <w:rPr>
          <w:rFonts w:hint="eastAsia" w:ascii="宋体" w:hAnsi="宋体" w:eastAsia="宋体" w:cs="Times New Roman"/>
          <w:b/>
          <w:bCs/>
          <w:caps/>
          <w:sz w:val="24"/>
          <w:szCs w:val="21"/>
          <w:lang w:val="en-US" w:eastAsia="zh-CN" w:bidi="ar-SA"/>
        </w:rPr>
        <w:t xml:space="preserve">要求</w:t>
      </w:r>
      <w:bookmarkEnd w:id="173"/>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cs="宋体"/>
          <w:b w:val="0"/>
          <w:bCs w:val="0"/>
          <w:sz w:val="24"/>
          <w:szCs w:val="24"/>
          <w:lang w:val="en-US" w:eastAsia="zh-CN"/>
        </w:rPr>
        <w:t xml:space="preserve">乙方</w:t>
      </w:r>
      <w:r>
        <w:rPr>
          <w:rFonts w:hint="eastAsia" w:ascii="宋体" w:hAnsi="宋体" w:eastAsia="宋体" w:cs="宋体"/>
          <w:b w:val="0"/>
          <w:bCs w:val="0"/>
          <w:sz w:val="24"/>
          <w:szCs w:val="24"/>
        </w:rPr>
        <w:t xml:space="preserve">提供维修服务时，本项目包含的各项内容均须符合《机动车维修管理规定》（交通运输部令2023年第14号）、《江苏省机动车维修管理条例》、《江苏省机动车维修结算工时定额与收费指南》、《机动车维修服务规范》（JT/T 816）以及相关法规的规定。</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在甲、乙方双方约定的质量保证里程或时间内，因维修质量造成的机械事故和经济损失，由乙方全部负责。</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highlight w:val="none"/>
        </w:rPr>
        <w:t xml:space="preserve">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rPr>
          <w:rFonts w:hint="eastAsia" w:ascii="宋体" w:hAnsi="宋体" w:eastAsia="宋体" w:cs="宋体"/>
          <w:b w:val="0"/>
          <w:bCs w:val="0"/>
          <w:sz w:val="24"/>
          <w:szCs w:val="24"/>
        </w:rPr>
        <w:t xml:space="preserve">。</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乙方应保证维修所用材料是未使用过的原厂生产的合格正品（维修车辆更换零部件应为原车辆使用件的原品牌、原产地、原型号的全新原厂件），并完全符合</w:t>
      </w:r>
      <w:r>
        <w:rPr>
          <w:rFonts w:hint="eastAsia" w:ascii="宋体" w:hAnsi="宋体" w:eastAsia="宋体" w:cs="宋体"/>
          <w:b w:val="0"/>
          <w:bCs w:val="0"/>
          <w:sz w:val="24"/>
          <w:szCs w:val="24"/>
          <w:lang w:eastAsia="zh-CN"/>
        </w:rPr>
        <w:t xml:space="preserve">合同</w:t>
      </w:r>
      <w:r>
        <w:rPr>
          <w:rFonts w:hint="eastAsia" w:ascii="宋体" w:hAnsi="宋体" w:eastAsia="宋体" w:cs="宋体"/>
          <w:b w:val="0"/>
          <w:bCs w:val="0"/>
          <w:sz w:val="24"/>
          <w:szCs w:val="24"/>
        </w:rPr>
        <w:t xml:space="preserve">规定的质量和性能。</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如果</w:t>
      </w:r>
      <w:r>
        <w:rPr>
          <w:rFonts w:hint="eastAsia" w:ascii="宋体" w:hAnsi="宋体" w:cs="宋体"/>
          <w:b w:val="0"/>
          <w:bCs w:val="0"/>
          <w:color w:val="auto"/>
          <w:sz w:val="24"/>
          <w:szCs w:val="24"/>
          <w:lang w:val="en-US" w:eastAsia="zh-CN"/>
        </w:rPr>
        <w:t xml:space="preserve">因</w:t>
      </w:r>
      <w:r>
        <w:rPr>
          <w:rFonts w:hint="eastAsia" w:ascii="宋体" w:hAnsi="宋体" w:eastAsia="宋体" w:cs="宋体"/>
          <w:b w:val="0"/>
          <w:bCs w:val="0"/>
          <w:color w:val="auto"/>
          <w:sz w:val="24"/>
          <w:szCs w:val="24"/>
        </w:rPr>
        <w:t xml:space="preserve">乙方</w:t>
      </w:r>
      <w:r>
        <w:rPr>
          <w:rFonts w:hint="eastAsia" w:ascii="宋体" w:hAnsi="宋体" w:cs="宋体"/>
          <w:b w:val="0"/>
          <w:bCs w:val="0"/>
          <w:color w:val="auto"/>
          <w:sz w:val="24"/>
          <w:szCs w:val="24"/>
          <w:lang w:val="en-US" w:eastAsia="zh-CN"/>
        </w:rPr>
        <w:t xml:space="preserve">维修产生的质量问题给送修方造成损失的应及时采取补救措施，若乙方未</w:t>
      </w:r>
      <w:r>
        <w:rPr>
          <w:rFonts w:hint="eastAsia" w:ascii="宋体" w:hAnsi="宋体" w:eastAsia="宋体" w:cs="宋体"/>
          <w:b w:val="0"/>
          <w:bCs w:val="0"/>
          <w:color w:val="auto"/>
          <w:sz w:val="24"/>
          <w:szCs w:val="24"/>
        </w:rPr>
        <w:t xml:space="preserve">在约定的时间内采取措施</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，送修方可</w:t>
      </w:r>
      <w:r>
        <w:rPr>
          <w:rFonts w:hint="eastAsia" w:ascii="宋体" w:hAnsi="宋体" w:cs="宋体"/>
          <w:b w:val="0"/>
          <w:bCs w:val="0"/>
          <w:color w:val="auto"/>
          <w:sz w:val="24"/>
          <w:szCs w:val="24"/>
          <w:lang w:val="en-US" w:eastAsia="zh-CN"/>
        </w:rPr>
        <w:t xml:space="preserve">自行</w:t>
      </w:r>
      <w:r>
        <w:rPr>
          <w:rFonts w:hint="eastAsia" w:ascii="宋体" w:hAnsi="宋体" w:eastAsia="宋体" w:cs="宋体"/>
          <w:b w:val="0"/>
          <w:bCs w:val="0"/>
          <w:color w:val="auto"/>
          <w:sz w:val="24"/>
          <w:szCs w:val="24"/>
        </w:rPr>
        <w:t xml:space="preserve">采取必要的补救措施，但风险和费用将由乙方承担。</w:t>
      </w:r>
      <w:r/>
    </w:p>
    <w:p>
      <w:pPr>
        <w:ind w:firstLine="482"/>
        <w:jc w:val="both"/>
        <w:keepLines w:val="0"/>
        <w:keepNext w:val="0"/>
        <w:pageBreakBefore w:val="0"/>
        <w:spacing w:line="480" w:lineRule="exact"/>
        <w:widowControl w:val="off"/>
        <w:rPr>
          <w:rFonts w:hint="eastAsia" w:ascii="宋体" w:hAnsi="宋体" w:eastAsia="宋体" w:cs="宋体"/>
          <w:b w:val="0"/>
          <w:bCs w:val="0"/>
          <w:sz w:val="24"/>
          <w:szCs w:val="24"/>
        </w:rPr>
        <w:outlineLvl w:val="0"/>
      </w:pPr>
      <w:r/>
      <w:bookmarkStart w:id="174" w:name="_Toc26982"/>
      <w:r/>
      <w:bookmarkStart w:id="175" w:name="_Toc525653741"/>
      <w:r>
        <w:rPr>
          <w:rFonts w:hint="eastAsia" w:ascii="宋体" w:hAnsi="宋体" w:eastAsia="宋体" w:cs="Times New Roman"/>
          <w:b/>
          <w:bCs/>
          <w:caps/>
          <w:sz w:val="24"/>
          <w:szCs w:val="21"/>
          <w:lang w:val="en-US" w:eastAsia="zh-CN" w:bidi="ar-SA"/>
        </w:rPr>
        <w:t xml:space="preserve">九、投诉</w:t>
      </w:r>
      <w:bookmarkEnd w:id="174"/>
      <w:r/>
      <w:bookmarkEnd w:id="175"/>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为了保障送修方和乙方的权益，本</w:t>
      </w:r>
      <w:r>
        <w:rPr>
          <w:rFonts w:hint="eastAsia" w:ascii="宋体" w:hAnsi="宋体" w:cs="宋体"/>
          <w:b w:val="0"/>
          <w:bCs w:val="0"/>
          <w:sz w:val="24"/>
          <w:szCs w:val="24"/>
          <w:lang w:val="en-US" w:eastAsia="zh-CN"/>
        </w:rPr>
        <w:t xml:space="preserve">协议</w:t>
      </w:r>
      <w:r>
        <w:rPr>
          <w:rFonts w:hint="eastAsia" w:ascii="宋体" w:hAnsi="宋体" w:eastAsia="宋体" w:cs="宋体"/>
          <w:b w:val="0"/>
          <w:bCs w:val="0"/>
          <w:sz w:val="24"/>
          <w:szCs w:val="24"/>
        </w:rPr>
        <w:t xml:space="preserve">建立投诉监管制度。具体方式为：</w:t>
      </w:r>
      <w:r/>
    </w:p>
    <w:p>
      <w:pPr>
        <w:numPr>
          <w:ilvl w:val="0"/>
          <w:numId w:val="0"/>
        </w:numPr>
        <w:ind w:firstLine="480"/>
        <w:jc w:val="both"/>
        <w:keepLines w:val="0"/>
        <w:keepNext w:val="0"/>
        <w:pageBreakBefore w:val="0"/>
        <w:spacing w:line="480" w:lineRule="exact"/>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送修方可就乙方的维修质量或服务问题向甲方或汽车维修行业管理部门或质量技术监督部门投诉；</w:t>
      </w:r>
      <w:r/>
    </w:p>
    <w:p>
      <w:pPr>
        <w:numPr>
          <w:ilvl w:val="0"/>
          <w:numId w:val="0"/>
        </w:numPr>
        <w:jc w:val="both"/>
        <w:keepLines w:val="0"/>
        <w:keepNext w:val="0"/>
        <w:pageBreakBefore w:val="0"/>
        <w:spacing w:line="480" w:lineRule="exact"/>
        <w:widowControl w:val="off"/>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乙方可就送修方的违反</w:t>
      </w:r>
      <w:r>
        <w:rPr>
          <w:rFonts w:hint="eastAsia" w:ascii="宋体" w:hAnsi="宋体" w:eastAsia="宋体" w:cs="宋体"/>
          <w:b w:val="0"/>
          <w:bCs w:val="0"/>
          <w:sz w:val="24"/>
          <w:szCs w:val="24"/>
          <w:lang w:eastAsia="zh-CN"/>
        </w:rPr>
        <w:t xml:space="preserve">合同</w:t>
      </w:r>
      <w:r>
        <w:rPr>
          <w:rFonts w:hint="eastAsia" w:ascii="宋体" w:hAnsi="宋体" w:eastAsia="宋体" w:cs="宋体"/>
          <w:b w:val="0"/>
          <w:bCs w:val="0"/>
          <w:sz w:val="24"/>
          <w:szCs w:val="24"/>
        </w:rPr>
        <w:t xml:space="preserve">规定或违纪事项向</w:t>
      </w:r>
      <w:r>
        <w:rPr>
          <w:rFonts w:hint="eastAsia" w:ascii="宋体" w:hAnsi="宋体" w:cs="宋体"/>
          <w:b w:val="0"/>
          <w:bCs w:val="0"/>
          <w:sz w:val="24"/>
          <w:szCs w:val="24"/>
          <w:lang w:val="en-US" w:eastAsia="zh-CN"/>
        </w:rPr>
        <w:t xml:space="preserve">征集人</w:t>
      </w:r>
      <w:r>
        <w:rPr>
          <w:rFonts w:hint="eastAsia" w:ascii="宋体" w:hAnsi="宋体" w:eastAsia="宋体" w:cs="宋体"/>
          <w:b w:val="0"/>
          <w:bCs w:val="0"/>
          <w:sz w:val="24"/>
          <w:szCs w:val="24"/>
        </w:rPr>
        <w:t xml:space="preserve">进行投诉。</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经核查，如情况属实，将记录在案，并对违约方进行查处。</w:t>
      </w:r>
      <w:r/>
    </w:p>
    <w:p>
      <w:pPr>
        <w:ind w:firstLine="482"/>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76" w:name="_Toc24823"/>
      <w:r/>
      <w:bookmarkStart w:id="177" w:name="_Toc525653742"/>
      <w:r>
        <w:rPr>
          <w:rFonts w:hint="eastAsia" w:ascii="宋体" w:hAnsi="宋体" w:eastAsia="宋体" w:cs="Times New Roman"/>
          <w:b/>
          <w:bCs/>
          <w:caps/>
          <w:sz w:val="24"/>
          <w:szCs w:val="21"/>
          <w:lang w:val="en-US" w:eastAsia="zh-CN" w:bidi="ar-SA"/>
        </w:rPr>
        <w:t xml:space="preserve">十、履约管理要求</w:t>
      </w:r>
      <w:bookmarkEnd w:id="176"/>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78" w:name="_Toc22182"/>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管理形式：以公务用车主管部门牵头管理为主，将会同行业主管部门、政采监管部门定期或不定期地对乙方的服务质量、履约情况进行监督检查。</w:t>
      </w:r>
      <w:bookmarkEnd w:id="178"/>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79" w:name="_Toc673"/>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管理标准：在监管检查中，如发现以下情形，视为不合格行为。相关部门在核实情况后将对相关责任供应商予以处理：</w:t>
      </w:r>
      <w:bookmarkEnd w:id="179"/>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0" w:name="_Toc12554"/>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材料进价台账监管：乙方应按甲方要求的频率报送材料进价台账，接受甲方监管，若经甲方抽查发现乙方的材料进价台账不真实、弄虚作假，存在价格虚报、套利行为的；</w:t>
      </w:r>
      <w:bookmarkEnd w:id="180"/>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1" w:name="_Toc17010"/>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乙方提供的服务不符合国家有关规定、响应承诺和框架协议规定；</w:t>
      </w:r>
      <w:bookmarkEnd w:id="181"/>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2" w:name="_Toc23869"/>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无正当理由拒单或不按照承诺提供服务；</w:t>
      </w:r>
      <w:bookmarkEnd w:id="182"/>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3" w:name="_Toc28933"/>
      <w:r>
        <w:rPr>
          <w:rFonts w:hint="eastAsia" w:ascii="宋体" w:hAnsi="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具体项目成交价高于其入围价格或服务承诺；</w:t>
      </w:r>
      <w:bookmarkEnd w:id="183"/>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4" w:name="_Toc21924"/>
      <w:r>
        <w:rPr>
          <w:rFonts w:hint="eastAsia" w:ascii="宋体"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使用不正当竞争手段，影响采购单位正常采购活动；</w:t>
      </w:r>
      <w:bookmarkEnd w:id="184"/>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5" w:name="_Toc8849"/>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t xml:space="preserve">满意度调查中</w:t>
      </w:r>
      <w:r>
        <w:rPr>
          <w:rFonts w:hint="eastAsia" w:ascii="宋体" w:hAnsi="宋体" w:cs="宋体"/>
          <w:b w:val="0"/>
          <w:bCs w:val="0"/>
          <w:sz w:val="24"/>
          <w:szCs w:val="24"/>
          <w:lang w:val="en-US" w:eastAsia="zh-CN"/>
        </w:rPr>
        <w:t xml:space="preserve">送</w:t>
      </w:r>
      <w:r>
        <w:rPr>
          <w:rFonts w:hint="eastAsia" w:ascii="宋体" w:hAnsi="宋体" w:eastAsia="宋体" w:cs="宋体"/>
          <w:b w:val="0"/>
          <w:bCs w:val="0"/>
          <w:sz w:val="24"/>
          <w:szCs w:val="24"/>
          <w:lang w:val="en-US" w:eastAsia="zh-CN"/>
        </w:rPr>
        <w:t xml:space="preserve">修方反馈不满意，经核实确系乙方责任；</w:t>
      </w:r>
      <w:bookmarkEnd w:id="185"/>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6" w:name="_Toc31576"/>
      <w:r>
        <w:rPr>
          <w:rFonts w:hint="eastAsia" w:ascii="宋体" w:hAnsi="宋体" w:cs="宋体"/>
          <w:b w:val="0"/>
          <w:bCs w:val="0"/>
          <w:sz w:val="24"/>
          <w:szCs w:val="24"/>
          <w:lang w:val="en-US" w:eastAsia="zh-CN"/>
        </w:rPr>
        <w:t xml:space="preserve">（7）</w:t>
      </w:r>
      <w:r>
        <w:rPr>
          <w:rFonts w:hint="eastAsia" w:ascii="宋体" w:hAnsi="宋体" w:eastAsia="宋体" w:cs="宋体"/>
          <w:b w:val="0"/>
          <w:bCs w:val="0"/>
          <w:sz w:val="24"/>
          <w:szCs w:val="24"/>
          <w:lang w:val="en-US" w:eastAsia="zh-CN"/>
        </w:rPr>
        <w:t xml:space="preserve">其他违法违规行为。</w:t>
      </w:r>
      <w:bookmarkEnd w:id="186"/>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7" w:name="_Toc25224"/>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管理措施：对履约监管中发现的不合格行为，按以下措施处理：</w:t>
      </w:r>
      <w:bookmarkEnd w:id="187"/>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8" w:name="_Toc2009"/>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整改：入围供应商在框架协议服务期间存在不合格行为的，</w:t>
      </w:r>
      <w:r>
        <w:rPr>
          <w:rFonts w:hint="eastAsia" w:cs="宋体"/>
          <w:b w:val="0"/>
          <w:bCs w:val="0"/>
          <w:sz w:val="24"/>
          <w:szCs w:val="24"/>
          <w:lang w:val="en-US" w:eastAsia="zh-CN"/>
        </w:rPr>
        <w:t xml:space="preserve">由相关部门</w:t>
      </w:r>
      <w:r>
        <w:rPr>
          <w:rFonts w:hint="eastAsia" w:cs="宋体"/>
          <w:b w:val="0"/>
          <w:bCs w:val="0"/>
          <w:color w:val="auto"/>
          <w:sz w:val="24"/>
          <w:szCs w:val="24"/>
          <w:lang w:val="en-US" w:eastAsia="zh-CN"/>
        </w:rPr>
        <w:t xml:space="preserve">责令其限期进行整改</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sz w:val="24"/>
          <w:szCs w:val="24"/>
          <w:lang w:val="en-US" w:eastAsia="zh-CN"/>
        </w:rPr>
        <w:t xml:space="preserve">限定时间完成整改。被</w:t>
      </w:r>
      <w:r>
        <w:rPr>
          <w:rFonts w:hint="eastAsia" w:ascii="宋体" w:hAnsi="宋体" w:cs="宋体"/>
          <w:b w:val="0"/>
          <w:bCs w:val="0"/>
          <w:sz w:val="24"/>
          <w:szCs w:val="24"/>
          <w:lang w:val="en-US" w:eastAsia="zh-CN"/>
        </w:rPr>
        <w:t xml:space="preserve">要求整改的</w:t>
      </w:r>
      <w:r>
        <w:rPr>
          <w:rFonts w:hint="eastAsia" w:ascii="宋体" w:hAnsi="宋体" w:eastAsia="宋体" w:cs="宋体"/>
          <w:b w:val="0"/>
          <w:bCs w:val="0"/>
          <w:sz w:val="24"/>
          <w:szCs w:val="24"/>
          <w:lang w:val="en-US" w:eastAsia="zh-CN"/>
        </w:rPr>
        <w:t xml:space="preserve">供应商，视作差评，记录在案；</w:t>
      </w:r>
      <w:bookmarkEnd w:id="188"/>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89" w:name="_Toc14581"/>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暂停交易资格：对拒不接受相关部门约谈，或者规定时间未按</w:t>
      </w:r>
      <w:r>
        <w:rPr>
          <w:rFonts w:hint="eastAsia" w:ascii="宋体" w:hAnsi="宋体" w:cs="宋体"/>
          <w:b w:val="0"/>
          <w:bCs w:val="0"/>
          <w:sz w:val="24"/>
          <w:szCs w:val="24"/>
          <w:lang w:val="en-US" w:eastAsia="zh-CN"/>
        </w:rPr>
        <w:t xml:space="preserve">要求</w:t>
      </w:r>
      <w:r>
        <w:rPr>
          <w:rFonts w:hint="eastAsia" w:ascii="宋体" w:hAnsi="宋体" w:eastAsia="宋体" w:cs="宋体"/>
          <w:b w:val="0"/>
          <w:bCs w:val="0"/>
          <w:sz w:val="24"/>
          <w:szCs w:val="24"/>
          <w:lang w:val="en-US" w:eastAsia="zh-CN"/>
        </w:rPr>
        <w:t xml:space="preserve">完成整改的供应商，暂停其框架协议交易资格三个月；</w:t>
      </w:r>
      <w:bookmarkEnd w:id="189"/>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0"/>
      </w:pPr>
      <w:r/>
      <w:bookmarkStart w:id="190" w:name="_Toc28007"/>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bookmarkEnd w:id="190"/>
      <w:r/>
      <w:r/>
    </w:p>
    <w:p>
      <w:pPr>
        <w:ind w:firstLine="482"/>
        <w:jc w:val="both"/>
        <w:keepLines w:val="0"/>
        <w:keepNext w:val="0"/>
        <w:pageBreakBefore w:val="0"/>
        <w:spacing w:line="480" w:lineRule="exact"/>
        <w:widowControl w:val="off"/>
        <w:rPr>
          <w:rFonts w:hint="default" w:ascii="宋体" w:hAnsi="宋体" w:eastAsia="宋体" w:cs="宋体"/>
          <w:b w:val="0"/>
          <w:bCs w:val="0"/>
          <w:sz w:val="24"/>
          <w:szCs w:val="24"/>
          <w:lang w:val="en-US" w:eastAsia="zh-CN"/>
        </w:rPr>
        <w:outlineLvl w:val="0"/>
      </w:pPr>
      <w:r/>
      <w:bookmarkStart w:id="191" w:name="_Toc14321"/>
      <w:r>
        <w:rPr>
          <w:rFonts w:hint="eastAsia" w:ascii="宋体" w:hAnsi="宋体" w:eastAsia="宋体" w:cs="Times New Roman"/>
          <w:b/>
          <w:bCs/>
          <w:caps/>
          <w:sz w:val="24"/>
          <w:szCs w:val="21"/>
          <w:lang w:val="en-US" w:eastAsia="zh-CN" w:bidi="ar-SA"/>
        </w:rPr>
        <w:t xml:space="preserve">十一、</w:t>
      </w:r>
      <w:bookmarkEnd w:id="177"/>
      <w:r>
        <w:rPr>
          <w:rFonts w:hint="eastAsia" w:ascii="宋体" w:hAnsi="宋体" w:eastAsia="宋体" w:cs="Times New Roman"/>
          <w:b/>
          <w:bCs/>
          <w:caps/>
          <w:sz w:val="24"/>
          <w:szCs w:val="21"/>
          <w:lang w:val="en-US" w:eastAsia="zh-CN" w:bidi="ar-SA"/>
        </w:rPr>
        <w:t xml:space="preserve">廉政要求</w:t>
      </w:r>
      <w:bookmarkEnd w:id="191"/>
      <w:r/>
      <w:r/>
    </w:p>
    <w:p>
      <w:pPr>
        <w:ind w:right="17"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乙方在任何情况下都不得向送修方经办人给予任何形式的回扣，一经发现商业贿赂或其他腐败现象，甲方可立即全面终止</w:t>
      </w:r>
      <w:r>
        <w:rPr>
          <w:rFonts w:hint="eastAsia" w:ascii="宋体" w:hAnsi="宋体" w:cs="宋体"/>
          <w:b w:val="0"/>
          <w:bCs w:val="0"/>
          <w:sz w:val="24"/>
          <w:szCs w:val="24"/>
          <w:lang w:val="en-US" w:eastAsia="zh-CN"/>
        </w:rPr>
        <w:t xml:space="preserve">框架协议</w:t>
      </w:r>
      <w:r>
        <w:rPr>
          <w:rFonts w:hint="eastAsia" w:ascii="宋体" w:hAnsi="宋体" w:eastAsia="宋体" w:cs="宋体"/>
          <w:b w:val="0"/>
          <w:bCs w:val="0"/>
          <w:sz w:val="24"/>
          <w:szCs w:val="24"/>
        </w:rPr>
        <w:t xml:space="preserve">的执行，同时提请有关部门追究有关当事人的责任，甲方根据造成的影响程度采取以下一种或多种方式的处罚措施：</w:t>
      </w:r>
      <w:r/>
    </w:p>
    <w:p>
      <w:pPr>
        <w:ind w:right="17" w:firstLine="480"/>
        <w:keepLines w:val="0"/>
        <w:keepNext w:val="0"/>
        <w:pageBreakBefore w:val="0"/>
        <w:spacing w:line="480" w:lineRule="exact"/>
        <w:widowControl w:val="off"/>
        <w:rPr>
          <w:rFonts w:hint="eastAsia" w:ascii="宋体" w:hAnsi="宋体" w:eastAsia="宋体" w:cs="宋体"/>
          <w:b w:val="0"/>
          <w:bCs w:val="0"/>
          <w:sz w:val="24"/>
          <w:szCs w:val="24"/>
          <w:u w:val="none"/>
        </w:rPr>
      </w:pPr>
      <w:r>
        <w:rPr>
          <w:rFonts w:hint="eastAsia" w:ascii="宋体" w:hAnsi="宋体" w:cs="宋体"/>
          <w:b w:val="0"/>
          <w:bCs w:val="0"/>
          <w:sz w:val="24"/>
          <w:szCs w:val="24"/>
          <w:u w:val="none"/>
          <w:lang w:val="en-US" w:eastAsia="zh-CN"/>
        </w:rPr>
        <w:t xml:space="preserve">1、</w:t>
      </w:r>
      <w:r>
        <w:rPr>
          <w:rFonts w:hint="eastAsia" w:ascii="宋体" w:hAnsi="宋体" w:eastAsia="宋体" w:cs="宋体"/>
          <w:b w:val="0"/>
          <w:bCs w:val="0"/>
          <w:sz w:val="24"/>
          <w:szCs w:val="24"/>
          <w:u w:val="none"/>
        </w:rPr>
        <w:t xml:space="preserve">暂停维修资格；</w:t>
      </w:r>
      <w:r/>
    </w:p>
    <w:p>
      <w:pPr>
        <w:ind w:right="17" w:firstLine="480"/>
        <w:keepLines w:val="0"/>
        <w:keepNext w:val="0"/>
        <w:pageBreakBefore w:val="0"/>
        <w:spacing w:line="480" w:lineRule="exact"/>
        <w:widowControl w:val="off"/>
        <w:rPr>
          <w:rFonts w:hint="eastAsia" w:ascii="宋体" w:hAnsi="宋体" w:eastAsia="宋体" w:cs="宋体"/>
          <w:b w:val="0"/>
          <w:bCs w:val="0"/>
          <w:sz w:val="24"/>
          <w:szCs w:val="24"/>
          <w:u w:val="none"/>
        </w:rPr>
      </w:pPr>
      <w:r>
        <w:rPr>
          <w:rFonts w:hint="eastAsia" w:ascii="宋体" w:hAnsi="宋体" w:cs="宋体"/>
          <w:b w:val="0"/>
          <w:bCs w:val="0"/>
          <w:sz w:val="24"/>
          <w:szCs w:val="24"/>
          <w:u w:val="none"/>
          <w:lang w:val="en-US" w:eastAsia="zh-CN"/>
        </w:rPr>
        <w:t xml:space="preserve">2、</w:t>
      </w:r>
      <w:r>
        <w:rPr>
          <w:rFonts w:hint="eastAsia" w:ascii="宋体" w:hAnsi="宋体" w:eastAsia="宋体" w:cs="宋体"/>
          <w:b w:val="0"/>
          <w:bCs w:val="0"/>
          <w:sz w:val="24"/>
          <w:szCs w:val="24"/>
          <w:u w:val="none"/>
        </w:rPr>
        <w:t xml:space="preserve">取消</w:t>
      </w:r>
      <w:r>
        <w:rPr>
          <w:rFonts w:hint="eastAsia" w:ascii="宋体" w:hAnsi="宋体" w:cs="宋体"/>
          <w:b w:val="0"/>
          <w:bCs w:val="0"/>
          <w:sz w:val="24"/>
          <w:szCs w:val="24"/>
          <w:lang w:val="en-US" w:eastAsia="zh-CN"/>
        </w:rPr>
        <w:t xml:space="preserve">协议</w:t>
      </w:r>
      <w:r>
        <w:rPr>
          <w:rFonts w:hint="eastAsia" w:ascii="宋体" w:hAnsi="宋体" w:eastAsia="宋体" w:cs="宋体"/>
          <w:b w:val="0"/>
          <w:bCs w:val="0"/>
          <w:sz w:val="24"/>
          <w:szCs w:val="24"/>
          <w:u w:val="none"/>
        </w:rPr>
        <w:t xml:space="preserve">期内的维修资格、解除</w:t>
      </w:r>
      <w:r>
        <w:rPr>
          <w:rFonts w:hint="eastAsia" w:ascii="宋体" w:hAnsi="宋体" w:cs="宋体"/>
          <w:b w:val="0"/>
          <w:bCs w:val="0"/>
          <w:sz w:val="24"/>
          <w:szCs w:val="24"/>
          <w:lang w:val="en-US" w:eastAsia="zh-CN"/>
        </w:rPr>
        <w:t xml:space="preserve">协议</w:t>
      </w:r>
      <w:r>
        <w:rPr>
          <w:rFonts w:hint="eastAsia" w:ascii="宋体" w:hAnsi="宋体" w:eastAsia="宋体" w:cs="宋体"/>
          <w:b w:val="0"/>
          <w:bCs w:val="0"/>
          <w:sz w:val="24"/>
          <w:szCs w:val="24"/>
          <w:u w:val="none"/>
        </w:rPr>
        <w:t xml:space="preserve">；</w:t>
      </w:r>
      <w:r/>
    </w:p>
    <w:p>
      <w:pPr>
        <w:ind w:right="17" w:firstLine="480"/>
        <w:keepLines w:val="0"/>
        <w:keepNext w:val="0"/>
        <w:pageBreakBefore w:val="0"/>
        <w:spacing w:line="480" w:lineRule="exact"/>
        <w:widowControl w:val="off"/>
        <w:rPr>
          <w:rFonts w:hint="eastAsia" w:ascii="宋体" w:hAnsi="宋体" w:eastAsia="宋体" w:cs="宋体"/>
          <w:b w:val="0"/>
          <w:bCs w:val="0"/>
          <w:sz w:val="24"/>
          <w:szCs w:val="24"/>
          <w:u w:val="none"/>
        </w:rPr>
      </w:pPr>
      <w:r>
        <w:rPr>
          <w:rFonts w:hint="eastAsia" w:ascii="宋体" w:hAnsi="宋体" w:cs="宋体"/>
          <w:b w:val="0"/>
          <w:bCs w:val="0"/>
          <w:sz w:val="24"/>
          <w:szCs w:val="24"/>
          <w:u w:val="none"/>
          <w:lang w:val="en-US" w:eastAsia="zh-CN"/>
        </w:rPr>
        <w:t xml:space="preserve">3、</w:t>
      </w:r>
      <w:r>
        <w:rPr>
          <w:rFonts w:hint="eastAsia" w:ascii="宋体" w:hAnsi="宋体" w:eastAsia="宋体" w:cs="宋体"/>
          <w:b w:val="0"/>
          <w:bCs w:val="0"/>
          <w:sz w:val="24"/>
          <w:szCs w:val="24"/>
          <w:u w:val="none"/>
        </w:rPr>
        <w:t xml:space="preserve">自事件发生起，3年内限制其参加</w:t>
      </w:r>
      <w:r>
        <w:rPr>
          <w:rFonts w:hint="eastAsia" w:ascii="宋体" w:hAnsi="宋体" w:eastAsia="宋体" w:cs="宋体"/>
          <w:b w:val="0"/>
          <w:bCs w:val="0"/>
          <w:sz w:val="24"/>
          <w:szCs w:val="24"/>
          <w:u w:val="none"/>
          <w:lang w:eastAsia="zh-CN"/>
        </w:rPr>
        <w:t xml:space="preserve">东台</w:t>
      </w:r>
      <w:r>
        <w:rPr>
          <w:rFonts w:hint="eastAsia" w:ascii="宋体" w:hAnsi="宋体" w:eastAsia="宋体" w:cs="宋体"/>
          <w:b w:val="0"/>
          <w:bCs w:val="0"/>
          <w:sz w:val="24"/>
          <w:szCs w:val="24"/>
          <w:u w:val="none"/>
        </w:rPr>
        <w:t xml:space="preserve">公务用车定点维修服务的市场准入；</w:t>
      </w:r>
      <w:r/>
    </w:p>
    <w:p>
      <w:pPr>
        <w:ind w:right="17" w:firstLine="480"/>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cs="宋体"/>
          <w:b w:val="0"/>
          <w:bCs w:val="0"/>
          <w:sz w:val="24"/>
          <w:szCs w:val="24"/>
          <w:u w:val="none"/>
          <w:lang w:val="en-US" w:eastAsia="zh-CN"/>
        </w:rPr>
        <w:t xml:space="preserve">4、</w:t>
      </w:r>
      <w:r>
        <w:rPr>
          <w:rFonts w:hint="eastAsia" w:ascii="宋体" w:hAnsi="宋体" w:eastAsia="宋体" w:cs="宋体"/>
          <w:b w:val="0"/>
          <w:bCs w:val="0"/>
          <w:sz w:val="24"/>
          <w:szCs w:val="24"/>
          <w:u w:val="none"/>
        </w:rPr>
        <w:t xml:space="preserve">给</w:t>
      </w:r>
      <w:r>
        <w:rPr>
          <w:rFonts w:hint="eastAsia" w:ascii="宋体" w:hAnsi="宋体" w:eastAsia="宋体" w:cs="宋体"/>
          <w:b w:val="0"/>
          <w:bCs w:val="0"/>
          <w:sz w:val="24"/>
          <w:szCs w:val="24"/>
          <w:u w:val="none"/>
          <w:lang w:eastAsia="zh-CN"/>
        </w:rPr>
        <w:t xml:space="preserve">甲方或送修方</w:t>
      </w:r>
      <w:r>
        <w:rPr>
          <w:rFonts w:hint="eastAsia" w:ascii="宋体" w:hAnsi="宋体" w:eastAsia="宋体" w:cs="宋体"/>
          <w:b w:val="0"/>
          <w:bCs w:val="0"/>
          <w:sz w:val="24"/>
          <w:szCs w:val="24"/>
          <w:u w:val="none"/>
        </w:rPr>
        <w:t xml:space="preserve">造成损失的，依法追偿；</w:t>
      </w:r>
      <w:r/>
    </w:p>
    <w:p>
      <w:pPr>
        <w:ind w:firstLine="482"/>
        <w:jc w:val="both"/>
        <w:keepLines w:val="0"/>
        <w:keepNext w:val="0"/>
        <w:pageBreakBefore w:val="0"/>
        <w:spacing w:line="480" w:lineRule="exact"/>
        <w:widowControl w:val="off"/>
        <w:rPr>
          <w:rFonts w:hint="default" w:ascii="宋体" w:hAnsi="宋体" w:eastAsia="宋体" w:cs="宋体"/>
          <w:b w:val="0"/>
          <w:bCs w:val="0"/>
          <w:color w:val="ff0000"/>
          <w:sz w:val="24"/>
          <w:szCs w:val="24"/>
          <w:lang w:val="en-US" w:eastAsia="zh-CN"/>
        </w:rPr>
        <w:outlineLvl w:val="0"/>
      </w:pPr>
      <w:r/>
      <w:bookmarkStart w:id="192" w:name="_Toc525653744"/>
      <w:r/>
      <w:bookmarkStart w:id="193" w:name="_Toc9001"/>
      <w:r>
        <w:rPr>
          <w:rFonts w:hint="eastAsia" w:ascii="宋体" w:hAnsi="宋体" w:eastAsia="宋体" w:cs="Times New Roman"/>
          <w:b/>
          <w:bCs/>
          <w:caps/>
          <w:sz w:val="24"/>
          <w:szCs w:val="21"/>
          <w:lang w:val="en-US" w:eastAsia="zh-CN" w:bidi="ar-SA"/>
        </w:rPr>
        <w:t xml:space="preserve">十二、转让</w:t>
      </w:r>
      <w:bookmarkEnd w:id="192"/>
      <w:r>
        <w:rPr>
          <w:rFonts w:hint="eastAsia" w:ascii="宋体" w:hAnsi="宋体" w:eastAsia="宋体" w:cs="Times New Roman"/>
          <w:b/>
          <w:bCs/>
          <w:caps/>
          <w:sz w:val="24"/>
          <w:szCs w:val="21"/>
          <w:lang w:val="en-US" w:eastAsia="zh-CN" w:bidi="ar-SA"/>
        </w:rPr>
        <w:t xml:space="preserve">、分包相关规定</w:t>
      </w:r>
      <w:bookmarkEnd w:id="193"/>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签订框架协议后，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不得将产品及其他相关服务进行转包。未经</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同意，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也不得采用分包的形式履行合同，否则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有权终止框架协议，采购人有权终止采购合同。转包或分包造成</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或采购人损失的，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及其授权分支机构应承担相应赔偿责任</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2"/>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194" w:name="_Toc14765"/>
      <w:r/>
      <w:bookmarkStart w:id="195" w:name="_Toc525653745"/>
      <w:r>
        <w:rPr>
          <w:rFonts w:hint="eastAsia" w:ascii="宋体" w:hAnsi="宋体" w:eastAsia="宋体" w:cs="Times New Roman"/>
          <w:b/>
          <w:bCs/>
          <w:caps/>
          <w:color w:val="auto"/>
          <w:sz w:val="24"/>
          <w:szCs w:val="21"/>
          <w:lang w:val="en-US" w:eastAsia="zh-CN" w:bidi="ar-SA"/>
        </w:rPr>
        <w:t xml:space="preserve">十三、入围供应商的清退和补充规则</w:t>
      </w:r>
      <w:bookmarkEnd w:id="194"/>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196" w:name="_Toc907"/>
      <w:r>
        <w:rPr>
          <w:rFonts w:hint="eastAsia" w:ascii="宋体" w:hAnsi="宋体" w:cs="宋体"/>
          <w:b w:val="0"/>
          <w:bCs w:val="0"/>
          <w:color w:val="auto"/>
          <w:sz w:val="24"/>
          <w:szCs w:val="24"/>
          <w:lang w:val="en-US" w:eastAsia="zh-CN"/>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bookmarkEnd w:id="196"/>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197" w:name="_Toc31715"/>
      <w:r>
        <w:rPr>
          <w:rFonts w:hint="eastAsia" w:ascii="宋体" w:hAnsi="宋体" w:cs="宋体"/>
          <w:b w:val="0"/>
          <w:bCs w:val="0"/>
          <w:color w:val="auto"/>
          <w:sz w:val="24"/>
          <w:szCs w:val="24"/>
          <w:lang w:val="en-US" w:eastAsia="zh-CN"/>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bookmarkEnd w:id="197"/>
      <w:r/>
      <w:r/>
    </w:p>
    <w:p>
      <w:pPr>
        <w:ind w:firstLine="482"/>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198" w:name="_Toc22132"/>
      <w:r>
        <w:rPr>
          <w:rFonts w:hint="eastAsia" w:ascii="宋体" w:hAnsi="宋体" w:eastAsia="宋体" w:cs="Times New Roman"/>
          <w:b/>
          <w:bCs/>
          <w:caps/>
          <w:color w:val="auto"/>
          <w:sz w:val="24"/>
          <w:szCs w:val="21"/>
          <w:lang w:val="en-US" w:eastAsia="zh-CN" w:bidi="ar-SA"/>
        </w:rPr>
        <w:t xml:space="preserve">十四、框架协议的修正和终止</w:t>
      </w:r>
      <w:bookmarkEnd w:id="198"/>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199" w:name="_Toc27561"/>
      <w:r>
        <w:rPr>
          <w:rFonts w:hint="eastAsia" w:ascii="宋体" w:hAnsi="宋体" w:cs="宋体"/>
          <w:b w:val="0"/>
          <w:bCs w:val="0"/>
          <w:color w:val="auto"/>
          <w:sz w:val="24"/>
          <w:szCs w:val="24"/>
          <w:lang w:val="en-US" w:eastAsia="zh-CN"/>
        </w:rPr>
        <w:t xml:space="preserve">1、经甲、乙双方一致同意，可以修正或依法终止本框架协议。</w:t>
      </w:r>
      <w:bookmarkEnd w:id="199"/>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200" w:name="_Toc11843"/>
      <w:r>
        <w:rPr>
          <w:rFonts w:hint="eastAsia" w:ascii="宋体" w:hAnsi="宋体" w:cs="宋体"/>
          <w:b w:val="0"/>
          <w:bCs w:val="0"/>
          <w:color w:val="auto"/>
          <w:sz w:val="24"/>
          <w:szCs w:val="24"/>
          <w:lang w:val="en-US" w:eastAsia="zh-CN"/>
        </w:rPr>
        <w:t xml:space="preserve">2、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本条所述的“不可抗力”指那些乙方无法控制、不可预见的事件，但不包括乙方的违约或疏忽。这些事件包括：战争、严重火灾、洪水、台风、地震以及其它甲方、送修方和乙方商定的事件。</w:t>
      </w:r>
      <w:bookmarkEnd w:id="200"/>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201" w:name="_Toc19705"/>
      <w:r>
        <w:rPr>
          <w:rFonts w:hint="eastAsia" w:ascii="宋体" w:hAnsi="宋体" w:cs="宋体"/>
          <w:b w:val="0"/>
          <w:bCs w:val="0"/>
          <w:color w:val="auto"/>
          <w:sz w:val="24"/>
          <w:szCs w:val="24"/>
          <w:lang w:val="en-US" w:eastAsia="zh-CN"/>
        </w:rPr>
        <w:t xml:space="preserve">3、乙方发生下列情况，甲方有权单方面依法终止本框架协议：</w:t>
      </w:r>
      <w:bookmarkEnd w:id="201"/>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202" w:name="_Toc13756"/>
      <w:r>
        <w:rPr>
          <w:rFonts w:hint="eastAsia" w:ascii="宋体" w:hAnsi="宋体" w:cs="宋体"/>
          <w:b w:val="0"/>
          <w:bCs w:val="0"/>
          <w:color w:val="auto"/>
          <w:sz w:val="24"/>
          <w:szCs w:val="24"/>
          <w:lang w:val="en-US" w:eastAsia="zh-CN"/>
        </w:rPr>
        <w:t xml:space="preserve">（1）乙方破产、解散、清算、停业以及其他原因无法为公务用车提供车辆维修服务的；</w:t>
      </w:r>
      <w:bookmarkEnd w:id="202"/>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203" w:name="_Toc881"/>
      <w:r>
        <w:rPr>
          <w:rFonts w:hint="eastAsia" w:ascii="宋体" w:hAnsi="宋体" w:cs="宋体"/>
          <w:b w:val="0"/>
          <w:bCs w:val="0"/>
          <w:color w:val="auto"/>
          <w:sz w:val="24"/>
          <w:szCs w:val="24"/>
          <w:lang w:val="en-US" w:eastAsia="zh-CN"/>
        </w:rPr>
        <w:t xml:space="preserve">（2）乙方设施、设备、场地发生重大变化，无法满足车辆维修需要，由乙方递交情况说明并经相关部门确认的。</w:t>
      </w:r>
      <w:bookmarkEnd w:id="203"/>
      <w:r/>
      <w:r/>
    </w:p>
    <w:p>
      <w:pPr>
        <w:ind w:firstLine="482"/>
        <w:jc w:val="both"/>
        <w:keepLines w:val="0"/>
        <w:keepNext w:val="0"/>
        <w:pageBreakBefore w:val="0"/>
        <w:spacing w:line="480" w:lineRule="exact"/>
        <w:widowControl w:val="off"/>
        <w:rPr>
          <w:rFonts w:hint="eastAsia" w:ascii="宋体" w:hAnsi="宋体" w:eastAsia="宋体" w:cs="宋体"/>
          <w:b w:val="0"/>
          <w:bCs w:val="0"/>
          <w:color w:val="auto"/>
          <w:sz w:val="24"/>
          <w:szCs w:val="24"/>
        </w:rPr>
        <w:outlineLvl w:val="0"/>
      </w:pPr>
      <w:r/>
      <w:bookmarkStart w:id="204" w:name="_Toc525653740"/>
      <w:r/>
      <w:bookmarkStart w:id="205" w:name="_Toc15943"/>
      <w:r>
        <w:rPr>
          <w:rFonts w:hint="eastAsia" w:ascii="宋体" w:hAnsi="宋体" w:eastAsia="宋体" w:cs="Times New Roman"/>
          <w:b/>
          <w:bCs/>
          <w:caps/>
          <w:color w:val="auto"/>
          <w:sz w:val="24"/>
          <w:szCs w:val="21"/>
          <w:lang w:val="en-US" w:eastAsia="zh-CN" w:bidi="ar-SA"/>
        </w:rPr>
        <w:t xml:space="preserve">十五、争议的解决</w:t>
      </w:r>
      <w:bookmarkEnd w:id="204"/>
      <w:r/>
      <w:bookmarkEnd w:id="205"/>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在执行本</w:t>
      </w:r>
      <w:r>
        <w:rPr>
          <w:rFonts w:hint="eastAsia" w:ascii="宋体" w:hAnsi="宋体" w:cs="宋体"/>
          <w:b w:val="0"/>
          <w:bCs w:val="0"/>
          <w:color w:val="auto"/>
          <w:sz w:val="24"/>
          <w:szCs w:val="24"/>
          <w:lang w:val="en-US" w:eastAsia="zh-CN"/>
        </w:rPr>
        <w:t xml:space="preserve">协议</w:t>
      </w:r>
      <w:r>
        <w:rPr>
          <w:rFonts w:hint="eastAsia" w:ascii="宋体" w:hAnsi="宋体" w:eastAsia="宋体" w:cs="宋体"/>
          <w:b w:val="0"/>
          <w:bCs w:val="0"/>
          <w:color w:val="auto"/>
          <w:sz w:val="24"/>
          <w:szCs w:val="24"/>
        </w:rPr>
        <w:t xml:space="preserve">中所发生的或与</w:t>
      </w:r>
      <w:r>
        <w:rPr>
          <w:rFonts w:hint="eastAsia" w:ascii="宋体" w:hAnsi="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lang w:eastAsia="zh-CN"/>
        </w:rPr>
        <w:t xml:space="preserve">合同</w:t>
      </w:r>
      <w:r>
        <w:rPr>
          <w:rFonts w:hint="eastAsia" w:ascii="宋体" w:hAnsi="宋体" w:eastAsia="宋体" w:cs="宋体"/>
          <w:b w:val="0"/>
          <w:bCs w:val="0"/>
          <w:color w:val="auto"/>
          <w:sz w:val="24"/>
          <w:szCs w:val="24"/>
        </w:rPr>
        <w:t xml:space="preserve">有关的一切争端，甲方、送修方和乙方应通过友好协商的办法进行解决。如从协商开始30天内仍不能解决，任何一方可以向有管辖权的人民法院提起诉讼。</w:t>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206" w:name="_Toc11797"/>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在争议解决期间，本</w:t>
      </w:r>
      <w:r>
        <w:rPr>
          <w:rFonts w:hint="eastAsia" w:ascii="宋体" w:hAnsi="宋体" w:cs="宋体"/>
          <w:b w:val="0"/>
          <w:bCs w:val="0"/>
          <w:color w:val="auto"/>
          <w:sz w:val="24"/>
          <w:szCs w:val="24"/>
          <w:lang w:val="en-US" w:eastAsia="zh-CN"/>
        </w:rPr>
        <w:t xml:space="preserve">协议或采购合同</w:t>
      </w:r>
      <w:r>
        <w:rPr>
          <w:rFonts w:hint="eastAsia" w:ascii="宋体" w:hAnsi="宋体" w:eastAsia="宋体" w:cs="宋体"/>
          <w:b w:val="0"/>
          <w:bCs w:val="0"/>
          <w:color w:val="auto"/>
          <w:sz w:val="24"/>
          <w:szCs w:val="24"/>
        </w:rPr>
        <w:t xml:space="preserve">应继续执行。</w:t>
      </w:r>
      <w:bookmarkEnd w:id="206"/>
      <w:r/>
      <w:r/>
    </w:p>
    <w:p>
      <w:pPr>
        <w:ind w:firstLine="482"/>
        <w:jc w:val="both"/>
        <w:keepLines w:val="0"/>
        <w:keepNext w:val="0"/>
        <w:pageBreakBefore w:val="0"/>
        <w:spacing w:line="480" w:lineRule="exact"/>
        <w:widowControl w:val="off"/>
        <w:rPr>
          <w:rFonts w:hint="eastAsia" w:ascii="宋体" w:hAnsi="宋体" w:cs="宋体"/>
          <w:b w:val="0"/>
          <w:bCs w:val="0"/>
          <w:sz w:val="24"/>
          <w:szCs w:val="24"/>
          <w:lang w:val="en-US" w:eastAsia="zh-CN"/>
        </w:rPr>
        <w:outlineLvl w:val="0"/>
      </w:pPr>
      <w:r/>
      <w:bookmarkStart w:id="207" w:name="_Toc6444"/>
      <w:r>
        <w:rPr>
          <w:rFonts w:hint="eastAsia" w:ascii="宋体" w:hAnsi="宋体" w:cs="宋体"/>
          <w:b/>
          <w:bCs/>
          <w:color w:val="auto"/>
          <w:sz w:val="24"/>
          <w:szCs w:val="24"/>
          <w:lang w:val="en-US" w:eastAsia="zh-CN"/>
        </w:rPr>
        <w:t xml:space="preserve">十六、</w:t>
      </w:r>
      <w:r>
        <w:rPr>
          <w:rFonts w:hint="eastAsia" w:ascii="宋体" w:hAnsi="宋体" w:cs="宋体"/>
          <w:b w:val="0"/>
          <w:bCs w:val="0"/>
          <w:color w:val="auto"/>
          <w:sz w:val="24"/>
          <w:szCs w:val="24"/>
          <w:lang w:val="en-US" w:eastAsia="zh-CN"/>
        </w:rPr>
        <w:t xml:space="preserve">本次采购活动中的征集文件、入围供应商的响应文件、有关澄清文件，为本框架协议不可分割的组成部分，具有与本框架协议同等的法律效律。</w:t>
      </w:r>
      <w:bookmarkEnd w:id="207"/>
      <w:r/>
      <w:r/>
    </w:p>
    <w:p>
      <w:pPr>
        <w:ind w:firstLine="482"/>
        <w:jc w:val="both"/>
        <w:keepLines w:val="0"/>
        <w:keepNext w:val="0"/>
        <w:pageBreakBefore w:val="0"/>
        <w:spacing w:line="480" w:lineRule="exact"/>
        <w:widowControl w:val="off"/>
        <w:rPr>
          <w:rFonts w:hint="eastAsia" w:ascii="宋体" w:hAnsi="宋体" w:eastAsia="宋体" w:cs="宋体"/>
          <w:b w:val="0"/>
          <w:bCs w:val="0"/>
          <w:sz w:val="24"/>
          <w:szCs w:val="24"/>
        </w:rPr>
        <w:outlineLvl w:val="0"/>
      </w:pPr>
      <w:r/>
      <w:bookmarkStart w:id="208" w:name="_Toc5655"/>
      <w:r>
        <w:rPr>
          <w:rFonts w:hint="eastAsia" w:ascii="宋体" w:hAnsi="宋体" w:eastAsia="宋体" w:cs="Times New Roman"/>
          <w:b/>
          <w:bCs/>
          <w:caps/>
          <w:sz w:val="24"/>
          <w:szCs w:val="21"/>
          <w:lang w:val="en-US" w:eastAsia="zh-CN" w:bidi="ar-SA"/>
        </w:rPr>
        <w:t xml:space="preserve">十七、框架协议有效期</w:t>
      </w:r>
      <w:bookmarkEnd w:id="195"/>
      <w:r/>
      <w:bookmarkEnd w:id="208"/>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0"/>
      </w:pPr>
      <w:r/>
      <w:bookmarkStart w:id="209" w:name="_Toc23476"/>
      <w:r>
        <w:rPr>
          <w:rFonts w:hint="eastAsia" w:ascii="宋体" w:hAnsi="宋体" w:eastAsia="宋体" w:cs="宋体"/>
          <w:b w:val="0"/>
          <w:bCs w:val="0"/>
          <w:sz w:val="24"/>
          <w:szCs w:val="24"/>
        </w:rPr>
        <w:t xml:space="preserve">本</w:t>
      </w:r>
      <w:r>
        <w:rPr>
          <w:rFonts w:hint="eastAsia" w:ascii="宋体" w:hAnsi="宋体" w:cs="宋体"/>
          <w:b w:val="0"/>
          <w:bCs w:val="0"/>
          <w:sz w:val="24"/>
          <w:szCs w:val="24"/>
          <w:lang w:val="en-US" w:eastAsia="zh-CN"/>
        </w:rPr>
        <w:t xml:space="preserve">框架协议</w:t>
      </w:r>
      <w:r>
        <w:rPr>
          <w:rFonts w:hint="eastAsia" w:ascii="宋体" w:hAnsi="宋体" w:eastAsia="宋体" w:cs="宋体"/>
          <w:b w:val="0"/>
          <w:bCs w:val="0"/>
          <w:sz w:val="24"/>
          <w:szCs w:val="24"/>
        </w:rPr>
        <w:t xml:space="preserve">有效期</w:t>
      </w:r>
      <w:r>
        <w:rPr>
          <w:rFonts w:hint="eastAsia" w:ascii="宋体" w:hAnsi="宋体" w:cs="宋体"/>
          <w:b w:val="0"/>
          <w:bCs w:val="0"/>
          <w:sz w:val="24"/>
          <w:szCs w:val="24"/>
          <w:u w:val="single"/>
          <w:lang w:val="en-US" w:eastAsia="zh-CN"/>
        </w:rPr>
        <w:t xml:space="preserve">2026</w:t>
      </w:r>
      <w:r>
        <w:rPr>
          <w:rFonts w:hint="eastAsia" w:ascii="宋体" w:hAnsi="宋体" w:eastAsia="宋体" w:cs="宋体"/>
          <w:b w:val="0"/>
          <w:bCs w:val="0"/>
          <w:sz w:val="24"/>
          <w:szCs w:val="24"/>
          <w:u w:val="none"/>
          <w:lang w:val="en-US" w:eastAsia="zh-CN"/>
        </w:rPr>
        <w:t xml:space="preserve">年</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single"/>
          <w:lang w:val="en-US" w:eastAsia="zh-CN"/>
        </w:rPr>
        <w:t xml:space="preserve">1</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月</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single"/>
          <w:lang w:val="en-US" w:eastAsia="zh-CN"/>
        </w:rPr>
        <w:t xml:space="preserve">1</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日至</w:t>
      </w:r>
      <w:r>
        <w:rPr>
          <w:rFonts w:hint="eastAsia" w:ascii="宋体" w:hAnsi="宋体" w:cs="宋体"/>
          <w:b w:val="0"/>
          <w:bCs w:val="0"/>
          <w:sz w:val="24"/>
          <w:szCs w:val="24"/>
          <w:u w:val="single"/>
          <w:lang w:val="en-US" w:eastAsia="zh-CN"/>
        </w:rPr>
        <w:t xml:space="preserve">2027</w:t>
      </w:r>
      <w:r>
        <w:rPr>
          <w:rFonts w:hint="eastAsia" w:ascii="宋体" w:hAnsi="宋体" w:eastAsia="宋体" w:cs="宋体"/>
          <w:b w:val="0"/>
          <w:bCs w:val="0"/>
          <w:sz w:val="24"/>
          <w:szCs w:val="24"/>
          <w:u w:val="none"/>
          <w:lang w:val="en-US" w:eastAsia="zh-CN"/>
        </w:rPr>
        <w:t xml:space="preserve">年</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single"/>
          <w:lang w:val="en-US" w:eastAsia="zh-CN"/>
        </w:rPr>
        <w:t xml:space="preserve">12</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月</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single"/>
          <w:lang w:val="en-US" w:eastAsia="zh-CN"/>
        </w:rPr>
        <w:t xml:space="preserve">31</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日</w:t>
      </w:r>
      <w:r>
        <w:rPr>
          <w:rFonts w:hint="eastAsia" w:ascii="宋体" w:hAnsi="宋体" w:eastAsia="宋体" w:cs="宋体"/>
          <w:b w:val="0"/>
          <w:bCs w:val="0"/>
          <w:sz w:val="24"/>
          <w:szCs w:val="24"/>
        </w:rPr>
        <w:t xml:space="preserve">。</w:t>
      </w:r>
      <w:bookmarkEnd w:id="209"/>
      <w:r/>
      <w:r/>
    </w:p>
    <w:p>
      <w:pPr>
        <w:ind w:firstLine="482"/>
        <w:jc w:val="both"/>
        <w:keepLines w:val="0"/>
        <w:keepNext w:val="0"/>
        <w:pageBreakBefore w:val="0"/>
        <w:spacing w:line="480" w:lineRule="exact"/>
        <w:widowControl w:val="off"/>
        <w:rPr>
          <w:rFonts w:hint="eastAsia" w:ascii="宋体" w:hAnsi="宋体" w:eastAsia="宋体" w:cs="宋体"/>
          <w:b w:val="0"/>
          <w:bCs w:val="0"/>
          <w:sz w:val="24"/>
          <w:szCs w:val="24"/>
        </w:rPr>
        <w:outlineLvl w:val="0"/>
      </w:pPr>
      <w:r/>
      <w:bookmarkStart w:id="210" w:name="_Toc525653746"/>
      <w:r/>
      <w:bookmarkStart w:id="211" w:name="_Toc12532"/>
      <w:r>
        <w:rPr>
          <w:rFonts w:hint="eastAsia" w:ascii="宋体" w:hAnsi="宋体" w:eastAsia="宋体" w:cs="Times New Roman"/>
          <w:b/>
          <w:bCs/>
          <w:caps/>
          <w:sz w:val="24"/>
          <w:szCs w:val="21"/>
          <w:lang w:val="en-US" w:eastAsia="zh-CN" w:bidi="ar-SA"/>
        </w:rPr>
        <w:t xml:space="preserve">十八、框架协议生效及其它</w:t>
      </w:r>
      <w:bookmarkEnd w:id="210"/>
      <w:r/>
      <w:bookmarkEnd w:id="211"/>
      <w:r/>
      <w:r/>
    </w:p>
    <w:p>
      <w:pPr>
        <w:ind w:left="0" w:firstLine="480"/>
        <w:jc w:val="left"/>
        <w:keepLines w:val="0"/>
        <w:keepNext w:val="0"/>
        <w:pageBreakBefore w:val="0"/>
        <w:spacing w:line="480" w:lineRule="exact"/>
        <w:widowControl/>
        <w:rPr>
          <w:rFonts w:hint="eastAsia" w:ascii="宋体" w:hAnsi="宋体" w:eastAsia="宋体" w:cs="Times New Roman"/>
          <w:b w:val="0"/>
          <w:bCs w:val="0"/>
          <w:color w:val="ff0000"/>
          <w:sz w:val="24"/>
          <w:szCs w:val="24"/>
          <w:highlight w:val="none"/>
          <w:lang w:eastAsia="zh-CN"/>
        </w:rPr>
        <w:outlineLvl w:val="9"/>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eastAsia="zh-CN"/>
        </w:rPr>
        <w:t xml:space="preserve">本框架协议未注明事项征集文件中有规定的，按征集文件中的规定处理，没有规定的</w:t>
      </w:r>
      <w:r>
        <w:rPr>
          <w:rFonts w:hint="eastAsia" w:ascii="宋体" w:hAnsi="宋体" w:eastAsia="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lang w:eastAsia="zh-CN"/>
        </w:rPr>
        <w:t xml:space="preserve">未尽事宜，遵照《</w:t>
      </w:r>
      <w:r>
        <w:rPr>
          <w:rFonts w:hint="eastAsia" w:ascii="宋体" w:hAnsi="宋体" w:eastAsia="宋体" w:cs="Times New Roman"/>
          <w:b w:val="0"/>
          <w:bCs w:val="0"/>
          <w:color w:val="auto"/>
          <w:sz w:val="24"/>
          <w:szCs w:val="24"/>
          <w:highlight w:val="none"/>
          <w:lang w:val="en-US" w:eastAsia="zh-CN"/>
        </w:rPr>
        <w:t xml:space="preserve">中华人民共和国</w:t>
      </w:r>
      <w:r>
        <w:rPr>
          <w:rFonts w:hint="eastAsia" w:ascii="宋体" w:hAnsi="宋体" w:eastAsia="宋体" w:cs="Times New Roman"/>
          <w:b w:val="0"/>
          <w:bCs w:val="0"/>
          <w:color w:val="auto"/>
          <w:sz w:val="24"/>
          <w:szCs w:val="24"/>
          <w:highlight w:val="none"/>
          <w:lang w:eastAsia="zh-CN"/>
        </w:rPr>
        <w:t xml:space="preserve">民法典》有关条文执行。</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 xml:space="preserve">本</w:t>
      </w:r>
      <w:r>
        <w:rPr>
          <w:rFonts w:hint="eastAsia" w:ascii="宋体" w:hAnsi="宋体" w:cs="宋体"/>
          <w:b w:val="0"/>
          <w:bCs w:val="0"/>
          <w:sz w:val="24"/>
          <w:szCs w:val="24"/>
          <w:lang w:val="en-US" w:eastAsia="zh-CN"/>
        </w:rPr>
        <w:t xml:space="preserve">协议</w:t>
      </w:r>
      <w:r>
        <w:rPr>
          <w:rFonts w:hint="eastAsia" w:ascii="宋体" w:hAnsi="宋体" w:eastAsia="宋体" w:cs="宋体"/>
          <w:b w:val="0"/>
          <w:bCs w:val="0"/>
          <w:sz w:val="24"/>
          <w:szCs w:val="24"/>
        </w:rPr>
        <w:t xml:space="preserve">应在甲方、乙方双方签字、盖章后生效。</w:t>
      </w:r>
      <w:r/>
    </w:p>
    <w:p>
      <w:pPr>
        <w:ind w:left="0" w:firstLine="480"/>
        <w:jc w:val="left"/>
        <w:keepLines w:val="0"/>
        <w:keepNext w:val="0"/>
        <w:pageBreakBefore w:val="0"/>
        <w:spacing w:line="480" w:lineRule="exact"/>
        <w:widowControl/>
        <w:rPr>
          <w:highlight w:val="none"/>
        </w:rPr>
        <w:outlineLvl w:val="9"/>
      </w:pP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 xml:space="preserve">本框架协议文本一式肆份，具有同等法律效力，甲、乙双方各执贰份。</w:t>
      </w:r>
      <w:r/>
    </w:p>
    <w:p>
      <w:pPr>
        <w:ind w:firstLine="480"/>
        <w:jc w:val="left"/>
        <w:keepLines w:val="0"/>
        <w:keepNext w:val="0"/>
        <w:pageBreakBefore w:val="0"/>
        <w:spacing w:line="48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甲方：                                   乙方： </w:t>
      </w:r>
      <w:r/>
    </w:p>
    <w:p>
      <w:pPr>
        <w:ind w:firstLine="480"/>
        <w:jc w:val="left"/>
        <w:keepLines w:val="0"/>
        <w:keepNext w:val="0"/>
        <w:pageBreakBefore w:val="0"/>
        <w:spacing w:line="48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地址：                                   地址： </w:t>
      </w:r>
      <w:r/>
    </w:p>
    <w:p>
      <w:pPr>
        <w:ind w:firstLine="480"/>
        <w:jc w:val="left"/>
        <w:keepLines w:val="0"/>
        <w:keepNext w:val="0"/>
        <w:pageBreakBefore w:val="0"/>
        <w:spacing w:line="48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法定代表人或授权代表：                   法定代表人或授权代表：</w:t>
      </w:r>
      <w:r/>
    </w:p>
    <w:p>
      <w:pPr>
        <w:ind w:firstLine="480"/>
        <w:jc w:val="left"/>
        <w:keepLines w:val="0"/>
        <w:keepNext w:val="0"/>
        <w:pageBreakBefore w:val="0"/>
        <w:spacing w:line="48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联系电话：                               联系电话：</w:t>
      </w:r>
      <w:r/>
    </w:p>
    <w:p>
      <w:pPr>
        <w:jc w:val="right"/>
        <w:keepLines w:val="0"/>
        <w:keepNext w:val="0"/>
        <w:pageBreakBefore w:val="0"/>
        <w:spacing w:line="48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jc w:val="right"/>
        <w:keepLines w:val="0"/>
        <w:keepNext w:val="0"/>
        <w:pageBreakBefore w:val="0"/>
        <w:spacing w:line="480" w:lineRule="exact"/>
        <w:widowControl/>
        <w:rPr>
          <w:rFonts w:hint="eastAsia" w:ascii="宋体" w:hAnsi="宋体" w:eastAsia="宋体" w:cs="宋体"/>
          <w:b/>
          <w:bCs/>
          <w:sz w:val="30"/>
          <w:szCs w:val="30"/>
          <w:highlight w:val="none"/>
        </w:rPr>
      </w:pPr>
      <w:r>
        <w:rPr>
          <w:rFonts w:ascii="宋体" w:hAnsi="宋体"/>
          <w:color w:val="000000" w:themeColor="text1"/>
          <w:sz w:val="24"/>
          <w:szCs w:val="24"/>
          <w:highlight w:val="none"/>
          <w14:textFill>
            <w14:solidFill>
              <w14:schemeClr w14:val="tx1"/>
            </w14:solidFill>
          </w14:textFill>
        </w:rPr>
        <w:t xml:space="preserve">签订日期：      年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月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日</w:t>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hAnsi="宋体"/>
          <w:b/>
          <w:bCs/>
          <w:sz w:val="30"/>
          <w:szCs w:val="30"/>
        </w:rPr>
      </w:pPr>
      <w:r>
        <w:rPr>
          <w:rFonts w:hint="eastAsia" w:hAnsi="宋体"/>
          <w:b/>
          <w:bCs/>
          <w:sz w:val="30"/>
          <w:szCs w:val="30"/>
        </w:rPr>
      </w:r>
      <w:r/>
    </w:p>
    <w:p>
      <w:pPr>
        <w:jc w:val="center"/>
        <w:spacing w:line="360" w:lineRule="exact"/>
        <w:rPr>
          <w:rFonts w:hint="eastAsia" w:ascii="宋体" w:hAnsi="宋体"/>
          <w:b/>
          <w:bCs/>
          <w:sz w:val="30"/>
          <w:szCs w:val="30"/>
        </w:rPr>
      </w:pPr>
      <w:r>
        <w:rPr>
          <w:rFonts w:hint="eastAsia" w:hAnsi="宋体"/>
          <w:b/>
          <w:bCs/>
          <w:sz w:val="30"/>
          <w:szCs w:val="30"/>
          <w:highlight w:val="none"/>
        </w:rPr>
      </w:r>
      <w:r>
        <w:rPr>
          <w:rFonts w:hint="eastAsia" w:hAnsi="宋体"/>
          <w:b/>
          <w:bCs/>
          <w:sz w:val="30"/>
          <w:szCs w:val="30"/>
          <w:highlight w:val="none"/>
        </w:rPr>
      </w:r>
    </w:p>
    <w:p>
      <w:pPr>
        <w:jc w:val="center"/>
        <w:spacing w:line="360" w:lineRule="exact"/>
        <w:rPr>
          <w:rFonts w:hint="eastAsia" w:hAnsi="宋体"/>
          <w:b/>
          <w:bCs/>
          <w:sz w:val="30"/>
          <w:szCs w:val="30"/>
          <w:highlight w:val="none"/>
        </w:rPr>
      </w:pPr>
      <w:r>
        <w:rPr>
          <w:rFonts w:hint="eastAsia" w:hAnsi="宋体"/>
          <w:b/>
          <w:bCs/>
          <w:sz w:val="30"/>
          <w:szCs w:val="30"/>
        </w:rPr>
        <w:t xml:space="preserve">采购合同文本（第二阶段）</w:t>
      </w:r>
      <w:r/>
    </w:p>
    <w:p>
      <w:pPr>
        <w:ind w:firstLine="645"/>
        <w:rPr>
          <w:rFonts w:hint="eastAsia" w:hAnsi="宋体"/>
          <w:szCs w:val="21"/>
        </w:rPr>
      </w:pPr>
      <w:r>
        <w:rPr>
          <w:rFonts w:hint="eastAsia" w:hAnsi="宋体"/>
          <w:szCs w:val="21"/>
        </w:rPr>
      </w:r>
      <w:r/>
    </w:p>
    <w:p>
      <w:pPr>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本项目的采购合同文本即具有合同性质的凭单、订单。</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附件一：</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公务用车维修费用执行价格一览表</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bl>
      <w:tblPr>
        <w:tblStyle w:val="737"/>
        <w:tblW w:w="8820" w:type="dxa"/>
        <w:jc w:val="center"/>
        <w:tblLayout w:type="fixed"/>
        <w:tblCellMar>
          <w:left w:w="0" w:type="dxa"/>
          <w:top w:w="0" w:type="dxa"/>
          <w:right w:w="0" w:type="dxa"/>
          <w:bottom w:w="0" w:type="dxa"/>
        </w:tblCellMar>
        <w:tblLook w:val="04A0" w:firstRow="1" w:lastRow="0" w:firstColumn="1" w:lastColumn="0" w:noHBand="0" w:noVBand="1"/>
      </w:tblPr>
      <w:tblGrid>
        <w:gridCol w:w="640"/>
        <w:gridCol w:w="1093"/>
        <w:gridCol w:w="1134"/>
        <w:gridCol w:w="1134"/>
        <w:gridCol w:w="3402"/>
        <w:gridCol w:w="1417"/>
      </w:tblGrid>
      <w:tr>
        <w:trPr>
          <w:jc w:val="center"/>
          <w:trHeight w:val="285"/>
        </w:trPr>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640"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1093"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公务用车维修单位（承修方）</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1134"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故障诊断、维修项目、作业内容：</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5953"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维修费用执行价格</w:t>
            </w:r>
            <w:r/>
          </w:p>
        </w:tc>
      </w:tr>
      <w:tr>
        <w:trPr>
          <w:jc w:val="center"/>
          <w:trHeight w:val="28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093" w:type="dxa"/>
            <w:vAlign w:val="center"/>
            <w:vMerge w:val="continue"/>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134" w:type="dxa"/>
            <w:vAlign w:val="center"/>
            <w:vMerge w:val="continue"/>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4536"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工时费用</w:t>
            </w:r>
            <w:r/>
          </w:p>
        </w:tc>
        <w:tc>
          <w:tcPr>
            <w:tcBorders>
              <w:top w:val="none" w:color="000000" w:sz="4" w:space="0"/>
              <w:left w:val="single" w:color="auto" w:sz="4" w:space="0"/>
              <w:right w:val="single" w:color="auto" w:sz="4" w:space="0"/>
            </w:tcBorders>
            <w:tcMar>
              <w:left w:w="15" w:type="dxa"/>
              <w:top w:w="15" w:type="dxa"/>
              <w:right w:w="15" w:type="dxa"/>
              <w:bottom w:w="0" w:type="dxa"/>
            </w:tcMar>
            <w:tcW w:w="1417"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材料进销差价率%</w:t>
            </w:r>
            <w:r/>
          </w:p>
        </w:tc>
      </w:tr>
      <w:tr>
        <w:trPr>
          <w:jc w:val="center"/>
          <w:trHeight w:val="560"/>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093"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134"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工时单价(元/工时)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工时定额</w:t>
            </w:r>
            <w:r/>
          </w:p>
        </w:tc>
        <w:tc>
          <w:tcPr>
            <w:tcBorders>
              <w:left w:val="single" w:color="auto" w:sz="4" w:space="0"/>
              <w:bottom w:val="single" w:color="000000" w:sz="4" w:space="0"/>
              <w:right w:val="single" w:color="auto" w:sz="4" w:space="0"/>
            </w:tcBorders>
            <w:tcW w:w="1417"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91"/>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093" w:type="dxa"/>
            <w:vAlign w:val="center"/>
            <w:textDirection w:val="lrTb"/>
            <w:noWrap w:val="false"/>
          </w:tcPr>
          <w:p>
            <w:pPr>
              <w:ind w:firstLine="480"/>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ind w:firstLine="480"/>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ind w:firstLine="480"/>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3402" w:type="dxa"/>
            <w:vAlign w:val="center"/>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《江苏省机动车维修结算工时定额与收费指南》（2014版）</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val="false"/>
          </w:tcPr>
          <w:p>
            <w:pPr>
              <w:ind w:firstLine="480"/>
              <w:spacing w:line="28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、乙方同意按“附件一”中确定的价格为框架协议期限内的最高限价。允许乙方根据实际情况自行降低价格。</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、维修结算总费用=工时费用（工时单价×工时定额）＋材料费用[材料购进价格×（1＋材料进销差价率%）]。上述所有费用均为含税价。</w:t>
      </w:r>
      <w:r/>
    </w:p>
    <w:p>
      <w:pPr>
        <w:pStyle w:val="927"/>
        <w:ind w:firstLine="420"/>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hAnsi="宋体" w:cs="宋体"/>
          <w:b w:val="0"/>
          <w:bCs w:val="0"/>
          <w:sz w:val="21"/>
          <w:szCs w:val="21"/>
          <w:lang w:val="en-US" w:eastAsia="zh-CN" w:bidi="ar-SA"/>
        </w:rPr>
        <w:t xml:space="preserve">3、</w:t>
      </w:r>
      <w:r>
        <w:rPr>
          <w:rFonts w:hint="eastAsia" w:ascii="宋体" w:hAnsi="宋体" w:eastAsia="宋体" w:cs="宋体"/>
          <w:b w:val="0"/>
          <w:bCs w:val="0"/>
          <w:sz w:val="21"/>
          <w:szCs w:val="21"/>
          <w:lang w:val="en-US" w:eastAsia="zh-CN" w:bidi="ar-SA"/>
        </w:rPr>
        <w:t xml:space="preserve">工时定额按《江苏省机动车维修结算工时定额与收费指南》（2014版）执行。</w:t>
      </w:r>
      <w:r/>
    </w:p>
    <w:p>
      <w:pPr>
        <w:pStyle w:val="927"/>
        <w:ind w:firstLine="420"/>
        <w:keepLines w:val="0"/>
        <w:keepNext w:val="0"/>
        <w:pageBreakBefore w:val="0"/>
        <w:spacing w:line="360" w:lineRule="auto"/>
        <w:widowControl w:val="off"/>
        <w:rPr>
          <w:rFonts w:hint="eastAsia" w:hAnsi="宋体" w:cs="宋体"/>
          <w:b w:val="0"/>
          <w:bCs w:val="0"/>
          <w:sz w:val="21"/>
          <w:szCs w:val="21"/>
          <w:lang w:val="en-US" w:eastAsia="zh-CN" w:bidi="ar-SA"/>
        </w:rPr>
      </w:pPr>
      <w:r>
        <w:rPr>
          <w:rFonts w:hint="eastAsia" w:hAnsi="宋体" w:cs="宋体"/>
          <w:b w:val="0"/>
          <w:bCs w:val="0"/>
          <w:sz w:val="21"/>
          <w:szCs w:val="21"/>
          <w:lang w:val="en-US" w:eastAsia="zh-CN" w:bidi="ar-SA"/>
        </w:rPr>
        <w:t xml:space="preserve">4、乙方需提供《江苏省机动车维修结算工时定额与收费指南》（2014版）和材料购进价凭证给采购人，便于送修方对价格的直接查询、核对，另也要将工时单价、材料进销差价率与结算有关的制度告知送修方。</w:t>
      </w:r>
      <w:r/>
    </w:p>
    <w:p>
      <w:pPr>
        <w:pStyle w:val="927"/>
        <w:ind w:firstLine="420"/>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hAnsi="宋体" w:cs="宋体"/>
          <w:b w:val="0"/>
          <w:bCs w:val="0"/>
          <w:sz w:val="21"/>
          <w:szCs w:val="21"/>
          <w:lang w:val="en-US" w:eastAsia="zh-CN" w:bidi="ar-SA"/>
        </w:rPr>
        <w:t xml:space="preserve">5、</w:t>
      </w:r>
      <w:r>
        <w:rPr>
          <w:rFonts w:hint="eastAsia" w:ascii="宋体" w:hAnsi="宋体" w:eastAsia="宋体" w:cs="宋体"/>
          <w:b w:val="0"/>
          <w:bCs w:val="0"/>
          <w:sz w:val="21"/>
          <w:szCs w:val="21"/>
          <w:lang w:val="en-US" w:eastAsia="zh-CN" w:bidi="ar-SA"/>
        </w:rPr>
        <w:t xml:space="preserve">乙方履行合同后，经</w:t>
      </w:r>
      <w:r>
        <w:rPr>
          <w:rFonts w:hint="eastAsia" w:hAnsi="宋体" w:cs="宋体"/>
          <w:b w:val="0"/>
          <w:bCs w:val="0"/>
          <w:sz w:val="21"/>
          <w:szCs w:val="21"/>
          <w:lang w:val="en-US" w:eastAsia="zh-CN" w:bidi="ar-SA"/>
        </w:rPr>
        <w:t xml:space="preserve">送</w:t>
      </w:r>
      <w:r>
        <w:rPr>
          <w:rFonts w:hint="eastAsia" w:ascii="宋体" w:hAnsi="宋体" w:eastAsia="宋体" w:cs="宋体"/>
          <w:b w:val="0"/>
          <w:bCs w:val="0"/>
          <w:sz w:val="21"/>
          <w:szCs w:val="21"/>
          <w:lang w:val="en-US" w:eastAsia="zh-CN" w:bidi="ar-SA"/>
        </w:rPr>
        <w:t xml:space="preserve">修方验收合格并签字确认后，依据采购合同的约定与</w:t>
      </w:r>
      <w:r>
        <w:rPr>
          <w:rFonts w:hint="eastAsia" w:hAnsi="宋体" w:cs="宋体"/>
          <w:b w:val="0"/>
          <w:bCs w:val="0"/>
          <w:sz w:val="21"/>
          <w:szCs w:val="21"/>
          <w:lang w:val="en-US" w:eastAsia="zh-CN" w:bidi="ar-SA"/>
        </w:rPr>
        <w:t xml:space="preserve">送修方</w:t>
      </w:r>
      <w:r>
        <w:rPr>
          <w:rFonts w:hint="eastAsia" w:ascii="宋体" w:hAnsi="宋体" w:eastAsia="宋体" w:cs="宋体"/>
          <w:b w:val="0"/>
          <w:bCs w:val="0"/>
          <w:sz w:val="21"/>
          <w:szCs w:val="21"/>
          <w:lang w:val="en-US" w:eastAsia="zh-CN" w:bidi="ar-SA"/>
        </w:rPr>
        <w:t xml:space="preserve">进行费用结算。</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cs="宋体"/>
          <w:b w:val="0"/>
          <w:bCs w:val="0"/>
          <w:sz w:val="21"/>
          <w:szCs w:val="21"/>
          <w:lang w:val="en-US" w:eastAsia="zh-CN" w:bidi="ar-SA"/>
        </w:rPr>
        <w:t xml:space="preserve">6、</w:t>
      </w:r>
      <w:r>
        <w:rPr>
          <w:rFonts w:hint="eastAsia" w:ascii="宋体" w:hAnsi="宋体" w:eastAsia="宋体" w:cs="宋体"/>
          <w:b w:val="0"/>
          <w:bCs w:val="0"/>
          <w:sz w:val="21"/>
          <w:szCs w:val="21"/>
          <w:lang w:val="en-US" w:eastAsia="zh-CN" w:bidi="ar-SA"/>
        </w:rPr>
        <w:t xml:space="preserve">未尽事项见江苏省质量技术监督局发布的《机动车维修费用结算规范》（DB 32/T 2665-2014）。</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cs="宋体"/>
          <w:sz w:val="21"/>
          <w:szCs w:val="21"/>
          <w:lang w:eastAsia="zh-CN"/>
        </w:rPr>
        <w:t xml:space="preserve">送修车辆15公里内免费拖车施救，过路过桥费、燃油费全免，免费对维修的车辆进行洗车。送修车辆15公里外按每公里2元计算（往返双程计算），由送修方承担（该费用不包含在维修费用内）。</w:t>
      </w:r>
      <w:r/>
    </w:p>
    <w:p>
      <w:pPr>
        <w:ind w:firstLine="420"/>
        <w:keepLines w:val="0"/>
        <w:keepNext w:val="0"/>
        <w:pageBreakBefore w:val="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8、送修方应定期与乙方结算，结算时乙方应向送修方提供正式的维修发票、材料购进价格凭证、每次维修的送修单和“结算单”。</w:t>
      </w:r>
      <w:r/>
    </w:p>
    <w:p>
      <w:pPr>
        <w:ind w:firstLine="540"/>
        <w:spacing w:line="360" w:lineRule="exact"/>
        <w:rPr>
          <w:rFonts w:hint="eastAsia" w:ascii="宋体" w:hAnsi="宋体" w:eastAsia="宋体" w:cs="宋体"/>
          <w:sz w:val="21"/>
          <w:szCs w:val="21"/>
        </w:rPr>
      </w:pPr>
      <w:r>
        <w:rPr>
          <w:rFonts w:hint="eastAsia" w:ascii="宋体" w:hAnsi="宋体" w:eastAsia="宋体" w:cs="宋体"/>
          <w:sz w:val="21"/>
          <w:szCs w:val="21"/>
        </w:rPr>
      </w:r>
      <w:r/>
    </w:p>
    <w:p>
      <w:pPr>
        <w:ind w:firstLine="540"/>
        <w:spacing w:line="360" w:lineRule="exact"/>
        <w:rPr>
          <w:rFonts w:hint="eastAsia" w:ascii="宋体" w:hAnsi="宋体" w:eastAsia="宋体" w:cs="宋体"/>
          <w:sz w:val="21"/>
          <w:szCs w:val="21"/>
        </w:rPr>
      </w:pPr>
      <w:r>
        <w:rPr>
          <w:rFonts w:hint="eastAsia" w:ascii="宋体" w:hAnsi="宋体" w:eastAsia="宋体" w:cs="宋体"/>
          <w:sz w:val="21"/>
          <w:szCs w:val="21"/>
        </w:rPr>
        <w:t xml:space="preserve">甲方（单位盖章）：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乙方（单位盖章）： </w:t>
      </w:r>
      <w:r/>
    </w:p>
    <w:p>
      <w:pPr>
        <w:ind w:firstLine="540"/>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法定代表人（签字或盖章）：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法定代表人（签字或盖章）：</w:t>
      </w:r>
      <w:r/>
    </w:p>
    <w:p>
      <w:pPr>
        <w:ind w:firstLine="1108"/>
        <w:keepLines w:val="0"/>
        <w:keepNext w:val="0"/>
        <w:pageBreakBefore w:val="0"/>
        <w:spacing w:line="460" w:lineRule="exact"/>
        <w:widowControl w:val="off"/>
        <w:rPr>
          <w:rFonts w:hint="eastAsia" w:ascii="仿宋" w:hAnsi="仿宋" w:eastAsia="仿宋" w:cs="宋体"/>
          <w:szCs w:val="21"/>
        </w:rPr>
      </w:pPr>
      <w:r>
        <w:rPr>
          <w:rFonts w:hint="eastAsia" w:ascii="宋体" w:hAnsi="宋体" w:eastAsia="宋体" w:cs="宋体"/>
          <w:sz w:val="21"/>
          <w:szCs w:val="21"/>
        </w:rPr>
        <w:t xml:space="preserve">年    月   日                      </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年   月   日</w:t>
      </w:r>
      <w:r/>
    </w:p>
    <w:p>
      <w:pPr>
        <w:rPr>
          <w:rFonts w:hint="eastAsia" w:ascii="仿宋" w:hAnsi="仿宋" w:eastAsia="仿宋"/>
          <w:szCs w:val="21"/>
        </w:rPr>
      </w:pPr>
      <w:r>
        <w:rPr>
          <w:rFonts w:ascii="仿宋" w:hAnsi="仿宋" w:eastAsia="仿宋"/>
          <w:szCs w:val="21"/>
        </w:rPr>
        <w:br w:type="page" w:clear="all"/>
      </w:r>
      <w:r/>
    </w:p>
    <w:p>
      <w:pPr>
        <w:rPr>
          <w:rStyle w:val="928"/>
          <w:rFonts w:hint="eastAsia" w:ascii="仿宋" w:hAnsi="仿宋" w:eastAsia="仿宋" w:cs="宋体"/>
          <w:color w:val="auto"/>
          <w:sz w:val="24"/>
          <w:szCs w:val="24"/>
        </w:rPr>
      </w:pPr>
      <w:r>
        <w:rPr>
          <w:rFonts w:hint="eastAsia" w:ascii="宋体" w:hAnsi="宋体" w:eastAsia="宋体" w:cs="宋体"/>
          <w:sz w:val="24"/>
        </w:rPr>
        <w:t xml:space="preserve">附件二</w:t>
      </w:r>
      <w:r/>
    </w:p>
    <w:p>
      <w:pPr>
        <w:jc w:val="center"/>
        <w:spacing w:line="600" w:lineRule="exact"/>
        <w:widowControl/>
        <w:rPr>
          <w:rStyle w:val="928"/>
          <w:rFonts w:ascii="Times New Roman" w:hAnsi="Times New Roman" w:eastAsia="方正小标宋_GBK"/>
          <w:color w:val="000000" w:themeColor="text1"/>
          <w:sz w:val="44"/>
          <w:szCs w:val="44"/>
          <w:highlight w:val="none"/>
          <w14:textFill>
            <w14:solidFill>
              <w14:schemeClr w14:val="tx1"/>
            </w14:solidFill>
          </w14:textFill>
        </w:rPr>
      </w:pPr>
      <w:r>
        <w:rPr>
          <w:rStyle w:val="928"/>
          <w:rFonts w:hint="eastAsia" w:ascii="宋体" w:hAnsi="宋体" w:eastAsia="宋体" w:cs="宋体"/>
          <w:color w:val="auto"/>
          <w:sz w:val="44"/>
          <w:szCs w:val="44"/>
        </w:rPr>
        <w:t xml:space="preserve">江苏省机动车维修费用结算清单</w:t>
      </w:r>
      <w:r/>
    </w:p>
    <w:tbl>
      <w:tblPr>
        <w:tblStyle w:val="737"/>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91"/>
        <w:gridCol w:w="1688"/>
        <w:gridCol w:w="1608"/>
        <w:gridCol w:w="1187"/>
        <w:gridCol w:w="1472"/>
        <w:gridCol w:w="1321"/>
        <w:gridCol w:w="1889"/>
      </w:tblGrid>
      <w:tr>
        <w:trPr>
          <w:trHeight w:val="595" w:hRule="exact"/>
        </w:trPr>
        <w:tc>
          <w:tcPr>
            <w:shd w:val="clear" w:color="auto" w:fill="ffffff"/>
            <w:tcBorders>
              <w:top w:val="single" w:color="auto" w:sz="8" w:space="0"/>
            </w:tcBorders>
            <w:tcW w:w="303" w:type="pct"/>
            <w:vAlign w:val="center"/>
            <w:vMerge w:val="restart"/>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en-US" w:eastAsia="zh-CN"/>
              </w:rPr>
              <w:t xml:space="preserve">送</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修</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方</w:t>
            </w:r>
            <w:r/>
          </w:p>
        </w:tc>
        <w:tc>
          <w:tcPr>
            <w:shd w:val="clear" w:color="auto" w:fill="ffffff"/>
            <w:tcBorders>
              <w:top w:val="single" w:color="auto" w:sz="8" w:space="0"/>
            </w:tcBorders>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单位名称</w:t>
            </w:r>
            <w:r/>
          </w:p>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w:t>
            </w:r>
            <w:r>
              <w:rPr>
                <w:rFonts w:hint="eastAsia" w:ascii="Times New Roman" w:hAnsi="Times New Roman" w:cs="仿宋_GB2312"/>
                <w:color w:val="auto"/>
                <w:szCs w:val="21"/>
                <w:highlight w:val="none"/>
                <w:lang w:val="zh-TW"/>
              </w:rPr>
              <w:t xml:space="preserve">车</w:t>
            </w:r>
            <w:r>
              <w:rPr>
                <w:rFonts w:hint="eastAsia" w:ascii="Times New Roman" w:hAnsi="Times New Roman" w:cs="仿宋_GB2312"/>
                <w:color w:val="auto"/>
                <w:szCs w:val="21"/>
                <w:highlight w:val="none"/>
                <w:lang w:val="zh-TW" w:eastAsia="zh-TW"/>
              </w:rPr>
              <w:t xml:space="preserve">主姓</w:t>
            </w:r>
            <w:r>
              <w:rPr>
                <w:rFonts w:hint="eastAsia" w:ascii="Times New Roman" w:hAnsi="Times New Roman" w:cs="仿宋_GB2312"/>
                <w:color w:val="auto"/>
                <w:szCs w:val="21"/>
                <w:highlight w:val="none"/>
                <w:lang w:val="zh-CN"/>
              </w:rPr>
              <w:t xml:space="preserve">名）</w:t>
            </w:r>
            <w:r/>
          </w:p>
        </w:tc>
        <w:tc>
          <w:tcPr>
            <w:gridSpan w:val="3"/>
            <w:shd w:val="clear" w:color="auto" w:fill="ffffff"/>
            <w:tcBorders>
              <w:top w:val="single" w:color="auto" w:sz="8" w:space="0"/>
            </w:tcBorders>
            <w:tcW w:w="2186"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Borders>
              <w:top w:val="single" w:color="auto" w:sz="8" w:space="0"/>
            </w:tcBorders>
            <w:tcW w:w="67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送修人</w:t>
            </w:r>
            <w:r/>
          </w:p>
        </w:tc>
        <w:tc>
          <w:tcPr>
            <w:shd w:val="clear" w:color="auto" w:fill="ffffff"/>
            <w:tcBorders>
              <w:top w:val="single" w:color="auto" w:sz="8" w:space="0"/>
            </w:tcBorders>
            <w:tcW w:w="96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583"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车牌号码</w:t>
            </w:r>
            <w:r/>
          </w:p>
        </w:tc>
        <w:tc>
          <w:tcPr>
            <w:shd w:val="clear" w:color="auto" w:fill="ffffff"/>
            <w:tcW w:w="82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厂牌型号</w:t>
            </w:r>
            <w:r/>
          </w:p>
        </w:tc>
        <w:tc>
          <w:tcPr>
            <w:shd w:val="clear" w:color="auto" w:fill="ffffff"/>
            <w:tcW w:w="75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维修类别</w:t>
            </w:r>
            <w:r/>
          </w:p>
        </w:tc>
        <w:tc>
          <w:tcPr>
            <w:shd w:val="clear" w:color="auto" w:fill="ffffff"/>
            <w:tcW w:w="96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70"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进厂日期</w:t>
            </w:r>
            <w:r/>
          </w:p>
        </w:tc>
        <w:tc>
          <w:tcPr>
            <w:shd w:val="clear" w:color="auto" w:fill="ffffff"/>
            <w:tcW w:w="82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合同编号</w:t>
            </w:r>
            <w:r/>
          </w:p>
        </w:tc>
        <w:tc>
          <w:tcPr>
            <w:shd w:val="clear" w:color="auto" w:fill="ffffff"/>
            <w:tcW w:w="75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W w:w="67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工单号</w:t>
            </w:r>
            <w:r/>
          </w:p>
        </w:tc>
        <w:tc>
          <w:tcPr>
            <w:shd w:val="clear" w:color="auto" w:fill="ffffff"/>
            <w:tcW w:w="96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436"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底盘号</w:t>
            </w:r>
            <w:r/>
          </w:p>
        </w:tc>
        <w:tc>
          <w:tcPr>
            <w:shd w:val="clear" w:color="auto" w:fill="ffffff"/>
            <w:tcW w:w="82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发动机号</w:t>
            </w:r>
            <w:r/>
          </w:p>
        </w:tc>
        <w:tc>
          <w:tcPr>
            <w:shd w:val="clear" w:color="auto" w:fill="ffffff"/>
            <w:tcW w:w="75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W w:w="67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购车日期</w:t>
            </w:r>
            <w:r/>
          </w:p>
        </w:tc>
        <w:tc>
          <w:tcPr>
            <w:shd w:val="clear" w:color="auto" w:fill="ffffff"/>
            <w:tcW w:w="96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87"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出厂里程表读数</w:t>
            </w:r>
            <w:r/>
          </w:p>
        </w:tc>
        <w:tc>
          <w:tcPr>
            <w:shd w:val="clear" w:color="auto" w:fill="ffffff"/>
            <w:tcW w:w="82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t xml:space="preserve">km</w:t>
            </w:r>
            <w:r/>
          </w:p>
        </w:tc>
        <w:tc>
          <w:tcPr>
            <w:shd w:val="clear" w:color="auto" w:fill="ffffff"/>
            <w:tcW w:w="608"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联系电话</w:t>
            </w:r>
            <w:r/>
          </w:p>
        </w:tc>
        <w:tc>
          <w:tcPr>
            <w:shd w:val="clear" w:color="auto" w:fill="ffffff"/>
            <w:tcW w:w="75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67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合格证号</w:t>
            </w:r>
            <w:r/>
          </w:p>
        </w:tc>
        <w:tc>
          <w:tcPr>
            <w:shd w:val="clear" w:color="auto" w:fill="ffffff"/>
            <w:tcW w:w="96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74" w:hRule="exact"/>
        </w:trPr>
        <w:tc>
          <w:tcPr>
            <w:shd w:val="clear" w:color="auto" w:fill="ffffff"/>
            <w:tcW w:w="303" w:type="pct"/>
            <w:vAlign w:val="center"/>
            <w:vMerge w:val="restart"/>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承</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修</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方</w:t>
            </w:r>
            <w:r/>
          </w:p>
        </w:tc>
        <w:tc>
          <w:tcPr>
            <w:shd w:val="clear" w:color="auto" w:fill="ffffff"/>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单位名称</w:t>
            </w:r>
            <w:r/>
          </w:p>
        </w:tc>
        <w:tc>
          <w:tcPr>
            <w:gridSpan w:val="3"/>
            <w:shd w:val="clear" w:color="auto" w:fill="ffffff"/>
            <w:tcW w:w="2186"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hint="eastAsia" w:ascii="Times New Roman" w:hAnsi="Times New Roman" w:cs="仿宋_GB2312"/>
                <w:color w:val="auto"/>
                <w:szCs w:val="21"/>
                <w:highlight w:val="none"/>
                <w:lang w:val="zh-TW" w:eastAsia="zh-TW"/>
              </w:rPr>
              <w:t xml:space="preserve">联系电话</w:t>
            </w:r>
            <w:r/>
          </w:p>
        </w:tc>
        <w:tc>
          <w:tcPr>
            <w:shd w:val="clear" w:color="auto" w:fill="ffffff"/>
            <w:tcW w:w="96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265"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单位地址</w:t>
            </w:r>
            <w:r/>
          </w:p>
        </w:tc>
        <w:tc>
          <w:tcPr>
            <w:gridSpan w:val="3"/>
            <w:shd w:val="clear" w:color="auto" w:fill="ffffff"/>
            <w:tcW w:w="2186"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t xml:space="preserve">E-mail</w:t>
            </w:r>
            <w:r/>
          </w:p>
        </w:tc>
        <w:tc>
          <w:tcPr>
            <w:shd w:val="clear" w:color="auto" w:fill="ffffff"/>
            <w:tcW w:w="967"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431"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开户银行</w:t>
            </w:r>
            <w:r/>
          </w:p>
        </w:tc>
        <w:tc>
          <w:tcPr>
            <w:gridSpan w:val="2"/>
            <w:shd w:val="clear" w:color="auto" w:fill="ffffff"/>
            <w:tcW w:w="1432"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5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帐号</w:t>
            </w:r>
            <w:r/>
          </w:p>
        </w:tc>
        <w:tc>
          <w:tcPr>
            <w:gridSpan w:val="2"/>
            <w:shd w:val="clear" w:color="auto" w:fill="ffffff"/>
            <w:tcW w:w="1644"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35" w:hRule="exact"/>
        </w:trPr>
        <w:tc>
          <w:tcPr>
            <w:shd w:val="clear" w:color="auto" w:fill="ffffff"/>
            <w:tcBorders>
              <w:bottom w:val="single" w:color="auto" w:sz="8" w:space="0"/>
            </w:tcBorders>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Borders>
              <w:bottom w:val="single" w:color="auto" w:sz="8" w:space="0"/>
            </w:tcBorders>
            <w:tcW w:w="865"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rPr>
            </w:pPr>
            <w:r>
              <w:rPr>
                <w:rFonts w:hint="eastAsia" w:ascii="Times New Roman" w:hAnsi="Times New Roman" w:cs="仿宋_GB2312"/>
                <w:color w:val="auto"/>
                <w:szCs w:val="21"/>
                <w:highlight w:val="none"/>
              </w:rPr>
              <w:t xml:space="preserve">服务顾问</w:t>
            </w:r>
            <w:r/>
          </w:p>
        </w:tc>
        <w:tc>
          <w:tcPr>
            <w:gridSpan w:val="5"/>
            <w:shd w:val="clear" w:color="auto" w:fill="ffffff"/>
            <w:tcBorders>
              <w:bottom w:val="single" w:color="auto" w:sz="8" w:space="0"/>
            </w:tcBorders>
            <w:tcW w:w="3831" w:type="pct"/>
            <w:vAlign w:val="center"/>
            <w:textDirection w:val="lrTb"/>
            <w:noWrap w:val="false"/>
          </w:tcPr>
          <w:p>
            <w:pPr>
              <w:jc w:val="center"/>
              <w:keepLines w:val="0"/>
              <w:keepNext w:val="0"/>
              <w:pageBreakBefore w:val="0"/>
              <w:spacing w:line="26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bl>
    <w:p>
      <w:pPr>
        <w:ind w:firstLine="317"/>
        <w:spacing w:line="20" w:lineRule="exact"/>
        <w:tabs>
          <w:tab w:val="left" w:pos="4489" w:leader="none"/>
          <w:tab w:val="left" w:pos="5835" w:leader="none"/>
        </w:tabs>
        <w:rPr>
          <w:rFonts w:ascii="Times New Roman" w:hAnsi="Times New Roman" w:eastAsia="仿宋_GB2312" w:cs="仿宋_GB2312"/>
          <w:color w:val="auto"/>
          <w:szCs w:val="21"/>
          <w:highlight w:val="none"/>
          <w:lang w:val="zh-TW" w:eastAsia="zh-TW"/>
        </w:rPr>
      </w:pPr>
      <w:r>
        <w:rPr>
          <w:rFonts w:ascii="Times New Roman" w:hAnsi="Times New Roman" w:eastAsia="仿宋_GB2312" w:cs="仿宋_GB2312"/>
          <w:color w:val="auto"/>
          <w:szCs w:val="21"/>
          <w:highlight w:val="none"/>
          <w:lang w:val="zh-TW" w:eastAsia="zh-TW"/>
        </w:rPr>
      </w:r>
      <w:r/>
    </w:p>
    <w:p>
      <w:pPr>
        <w:spacing w:line="240" w:lineRule="exact"/>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表一维修费用结算表</w:t>
      </w:r>
      <w:r/>
    </w:p>
    <w:tbl>
      <w:tblPr>
        <w:tblStyle w:val="737"/>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93"/>
        <w:gridCol w:w="1698"/>
        <w:gridCol w:w="4244"/>
        <w:gridCol w:w="1312"/>
        <w:gridCol w:w="1909"/>
      </w:tblGrid>
      <w:tr>
        <w:trPr>
          <w:jc w:val="center"/>
          <w:trHeight w:val="357" w:hRule="exact"/>
        </w:trPr>
        <w:tc>
          <w:tcPr>
            <w:shd w:val="clear" w:color="auto" w:fill="ffffff"/>
            <w:tcBorders>
              <w:top w:val="single" w:color="auto" w:sz="8" w:space="0"/>
            </w:tcBorders>
            <w:tcW w:w="304" w:type="pct"/>
            <w:vAlign w:val="bottom"/>
            <w:textDirection w:val="lrTb"/>
            <w:noWrap w:val="false"/>
          </w:tcPr>
          <w:p>
            <w:pPr>
              <w:jc w:val="center"/>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70" w:type="pct"/>
            <w:vAlign w:val="bottom"/>
            <w:textDirection w:val="lrTb"/>
            <w:noWrap w:val="false"/>
          </w:tcPr>
          <w:p>
            <w:pPr>
              <w:ind w:firstLine="460"/>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名称</w:t>
            </w:r>
            <w:r/>
          </w:p>
        </w:tc>
        <w:tc>
          <w:tcPr>
            <w:shd w:val="clear" w:color="auto" w:fill="ffffff"/>
            <w:tcBorders>
              <w:top w:val="single" w:color="auto" w:sz="8" w:space="0"/>
            </w:tcBorders>
            <w:tcW w:w="2174" w:type="pct"/>
            <w:vAlign w:val="bottom"/>
            <w:textDirection w:val="lrTb"/>
            <w:noWrap w:val="false"/>
          </w:tcPr>
          <w:p>
            <w:pPr>
              <w:jc w:val="center"/>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w:t>
            </w:r>
            <w:r/>
          </w:p>
        </w:tc>
        <w:tc>
          <w:tcPr>
            <w:gridSpan w:val="2"/>
            <w:shd w:val="clear" w:color="auto" w:fill="ffffff"/>
            <w:tcBorders>
              <w:top w:val="single" w:color="auto" w:sz="8" w:space="0"/>
            </w:tcBorders>
            <w:tcW w:w="1650" w:type="pct"/>
            <w:vAlign w:val="bottom"/>
            <w:textDirection w:val="lrTb"/>
            <w:noWrap w:val="false"/>
          </w:tcPr>
          <w:p>
            <w:pPr>
              <w:jc w:val="center"/>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备注</w:t>
            </w:r>
            <w:r/>
          </w:p>
        </w:tc>
      </w:tr>
      <w:tr>
        <w:trPr>
          <w:jc w:val="center"/>
          <w:trHeight w:val="337" w:hRule="exact"/>
        </w:trPr>
        <w:tc>
          <w:tcPr>
            <w:shd w:val="clear" w:color="auto" w:fill="ffffff"/>
            <w:tcW w:w="304"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1</w:t>
            </w:r>
            <w:r/>
          </w:p>
        </w:tc>
        <w:tc>
          <w:tcPr>
            <w:shd w:val="clear" w:color="auto" w:fill="ffffff"/>
            <w:tcW w:w="870"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工时费</w:t>
            </w:r>
            <w:r/>
          </w:p>
        </w:tc>
        <w:tc>
          <w:tcPr>
            <w:shd w:val="clear" w:color="auto" w:fill="ffffff"/>
            <w:tcW w:w="2174" w:type="pct"/>
            <w:vAlign w:val="center"/>
            <w:textDirection w:val="lrTb"/>
            <w:noWrap w:val="false"/>
          </w:tcPr>
          <w:p>
            <w:pPr>
              <w:jc w:val="center"/>
              <w:spacing w:line="220" w:lineRule="exact"/>
              <w:rPr>
                <w:rFonts w:ascii="Times New Roman" w:hAnsi="Times New Roman" w:cs="仿宋_GB2312"/>
                <w:color w:val="auto"/>
                <w:szCs w:val="21"/>
                <w:highlight w:val="green"/>
                <w:lang w:val="zh-TW" w:eastAsia="zh-TW"/>
              </w:rPr>
            </w:pPr>
            <w:r>
              <w:rPr>
                <w:rFonts w:ascii="Times New Roman" w:hAnsi="Times New Roman" w:cs="仿宋_GB2312"/>
                <w:color w:val="auto"/>
                <w:szCs w:val="21"/>
                <w:highlight w:val="green"/>
                <w:lang w:val="zh-TW" w:eastAsia="zh-TW"/>
              </w:rPr>
            </w:r>
            <w:r/>
          </w:p>
        </w:tc>
        <w:tc>
          <w:tcPr>
            <w:gridSpan w:val="2"/>
            <w:shd w:val="clear" w:color="auto" w:fill="ffffff"/>
            <w:tcW w:w="165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93" w:hRule="exact"/>
        </w:trPr>
        <w:tc>
          <w:tcPr>
            <w:shd w:val="clear" w:color="auto" w:fill="ffffff"/>
            <w:tcW w:w="304"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2</w:t>
            </w:r>
            <w:r/>
          </w:p>
        </w:tc>
        <w:tc>
          <w:tcPr>
            <w:shd w:val="clear" w:color="auto" w:fill="ffffff"/>
            <w:tcW w:w="870"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材料费</w:t>
            </w:r>
            <w:r/>
          </w:p>
        </w:tc>
        <w:tc>
          <w:tcPr>
            <w:shd w:val="clear" w:color="auto" w:fill="ffffff"/>
            <w:tcW w:w="2174" w:type="pct"/>
            <w:vAlign w:val="center"/>
            <w:textDirection w:val="lrTb"/>
            <w:noWrap w:val="false"/>
          </w:tcPr>
          <w:p>
            <w:pPr>
              <w:jc w:val="center"/>
              <w:spacing w:line="220" w:lineRule="exact"/>
              <w:rPr>
                <w:rFonts w:ascii="Times New Roman" w:hAnsi="Times New Roman" w:cs="仿宋_GB2312"/>
                <w:color w:val="auto"/>
                <w:szCs w:val="21"/>
                <w:highlight w:val="green"/>
                <w:lang w:eastAsia="en-US"/>
              </w:rPr>
            </w:pPr>
            <w:r>
              <w:rPr>
                <w:rFonts w:ascii="Times New Roman" w:hAnsi="Times New Roman" w:cs="仿宋_GB2312"/>
                <w:color w:val="auto"/>
                <w:szCs w:val="21"/>
                <w:highlight w:val="green"/>
                <w:lang w:eastAsia="en-US"/>
              </w:rPr>
            </w:r>
            <w:r/>
          </w:p>
        </w:tc>
        <w:tc>
          <w:tcPr>
            <w:gridSpan w:val="2"/>
            <w:shd w:val="clear" w:color="auto" w:fill="ffffff"/>
            <w:tcW w:w="165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03" w:hRule="exact"/>
        </w:trPr>
        <w:tc>
          <w:tcPr>
            <w:shd w:val="clear" w:color="auto" w:fill="ffffff"/>
            <w:tcW w:w="304"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3</w:t>
            </w:r>
            <w:r/>
          </w:p>
        </w:tc>
        <w:tc>
          <w:tcPr>
            <w:shd w:val="clear" w:color="auto" w:fill="ffffff"/>
            <w:tcW w:w="870"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合计金额</w:t>
            </w:r>
            <w:r/>
          </w:p>
        </w:tc>
        <w:tc>
          <w:tcPr>
            <w:shd w:val="clear" w:color="auto" w:fill="ffffff"/>
            <w:tcW w:w="2174" w:type="pct"/>
            <w:vAlign w:val="center"/>
            <w:textDirection w:val="lrTb"/>
            <w:noWrap w:val="false"/>
          </w:tcPr>
          <w:p>
            <w:pPr>
              <w:jc w:val="center"/>
              <w:spacing w:line="220" w:lineRule="exact"/>
              <w:rPr>
                <w:rFonts w:ascii="Times New Roman" w:hAnsi="Times New Roman" w:cs="仿宋_GB2312"/>
                <w:color w:val="auto"/>
                <w:szCs w:val="21"/>
                <w:highlight w:val="green"/>
                <w:lang w:eastAsia="en-US"/>
              </w:rPr>
            </w:pPr>
            <w:r>
              <w:rPr>
                <w:rFonts w:ascii="Times New Roman" w:hAnsi="Times New Roman" w:cs="仿宋_GB2312"/>
                <w:color w:val="auto"/>
                <w:szCs w:val="21"/>
                <w:highlight w:val="green"/>
                <w:lang w:eastAsia="en-US"/>
              </w:rPr>
            </w:r>
            <w:r/>
          </w:p>
        </w:tc>
        <w:tc>
          <w:tcPr>
            <w:gridSpan w:val="2"/>
            <w:shd w:val="clear" w:color="auto" w:fill="ffffff"/>
            <w:tcW w:w="165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24" w:hRule="exact"/>
        </w:trPr>
        <w:tc>
          <w:tcPr>
            <w:gridSpan w:val="2"/>
            <w:shd w:val="clear" w:color="auto" w:fill="ffffff"/>
            <w:tcBorders>
              <w:bottom w:val="single" w:color="auto" w:sz="8" w:space="0"/>
            </w:tcBorders>
            <w:tcW w:w="1174" w:type="pct"/>
            <w:vAlign w:val="bottom"/>
            <w:textDirection w:val="lrTb"/>
            <w:noWrap w:val="false"/>
          </w:tcPr>
          <w:p>
            <w:pPr>
              <w:ind w:firstLine="160"/>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实收金额大写（元）</w:t>
            </w:r>
            <w:r/>
          </w:p>
        </w:tc>
        <w:tc>
          <w:tcPr>
            <w:shd w:val="clear" w:color="auto" w:fill="ffffff"/>
            <w:tcBorders>
              <w:bottom w:val="single" w:color="auto" w:sz="8" w:space="0"/>
            </w:tcBorders>
            <w:tcW w:w="2174" w:type="pct"/>
            <w:textDirection w:val="lrTb"/>
            <w:noWrap w:val="false"/>
          </w:tcPr>
          <w:p>
            <w:pPr>
              <w:jc w:val="left"/>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Borders>
              <w:bottom w:val="single" w:color="auto" w:sz="8" w:space="0"/>
            </w:tcBorders>
            <w:tcW w:w="672" w:type="pct"/>
            <w:vAlign w:val="bottom"/>
            <w:textDirection w:val="lrTb"/>
            <w:noWrap w:val="false"/>
          </w:tcPr>
          <w:p>
            <w:pPr>
              <w:jc w:val="center"/>
              <w:spacing w:line="220" w:lineRule="exact"/>
              <w:tabs>
                <w:tab w:val="left" w:pos="1670" w:leader="none"/>
              </w:tabs>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结算方式</w:t>
            </w:r>
            <w:r/>
          </w:p>
        </w:tc>
        <w:tc>
          <w:tcPr>
            <w:shd w:val="clear" w:color="auto" w:fill="ffffff"/>
            <w:tcBorders>
              <w:bottom w:val="single" w:color="auto" w:sz="8" w:space="0"/>
            </w:tcBorders>
            <w:tcW w:w="978" w:type="pct"/>
            <w:vAlign w:val="bottom"/>
            <w:textDirection w:val="lrTb"/>
            <w:noWrap w:val="false"/>
          </w:tcPr>
          <w:p>
            <w:pPr>
              <w:jc w:val="center"/>
              <w:spacing w:line="220" w:lineRule="exact"/>
              <w:tabs>
                <w:tab w:val="left" w:pos="1670" w:leader="none"/>
              </w:tabs>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挂帐</w:t>
            </w:r>
            <w:r/>
          </w:p>
        </w:tc>
      </w:tr>
    </w:tbl>
    <w:p>
      <w:pPr>
        <w:jc w:val="left"/>
        <w:spacing w:line="1" w:lineRule="exact"/>
        <w:rPr>
          <w:rFonts w:ascii="Times New Roman" w:hAnsi="Times New Roman" w:eastAsia="仿宋_GB2312" w:cs="仿宋_GB2312"/>
          <w:color w:val="auto"/>
          <w:szCs w:val="21"/>
          <w:highlight w:val="none"/>
          <w:lang w:eastAsia="en-US"/>
        </w:rPr>
      </w:pPr>
      <w:r>
        <w:rPr>
          <w:rFonts w:ascii="Times New Roman" w:hAnsi="Times New Roman" w:eastAsia="仿宋_GB2312" w:cs="仿宋_GB2312"/>
          <w:color w:val="auto"/>
          <w:szCs w:val="21"/>
          <w:highlight w:val="none"/>
          <w:lang w:eastAsia="en-US"/>
        </w:rPr>
      </w:r>
      <w:r/>
    </w:p>
    <w:p>
      <w:pPr>
        <w:spacing w:line="240" w:lineRule="exact"/>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表二工时费</w:t>
      </w:r>
      <w:r/>
    </w:p>
    <w:tbl>
      <w:tblPr>
        <w:tblStyle w:val="737"/>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99"/>
        <w:gridCol w:w="1696"/>
        <w:gridCol w:w="1600"/>
        <w:gridCol w:w="1189"/>
        <w:gridCol w:w="2779"/>
        <w:gridCol w:w="1893"/>
      </w:tblGrid>
      <w:tr>
        <w:trPr>
          <w:jc w:val="center"/>
          <w:trHeight w:val="246" w:hRule="exact"/>
        </w:trPr>
        <w:tc>
          <w:tcPr>
            <w:shd w:val="clear" w:color="auto" w:fill="ffffff"/>
            <w:tcBorders>
              <w:top w:val="single" w:color="auto" w:sz="8" w:space="0"/>
            </w:tcBorders>
            <w:tcW w:w="307"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68"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维修项目</w:t>
            </w:r>
            <w:r/>
          </w:p>
        </w:tc>
        <w:tc>
          <w:tcPr>
            <w:shd w:val="clear" w:color="auto" w:fill="ffffff"/>
            <w:tcBorders>
              <w:top w:val="single" w:color="auto" w:sz="8" w:space="0"/>
            </w:tcBorders>
            <w:tcW w:w="820"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结算工时（个）</w:t>
            </w:r>
            <w:r/>
          </w:p>
        </w:tc>
        <w:tc>
          <w:tcPr>
            <w:shd w:val="clear" w:color="auto" w:fill="ffffff"/>
            <w:tcBorders>
              <w:top w:val="single" w:color="auto" w:sz="8" w:space="0"/>
            </w:tcBorders>
            <w:tcW w:w="609"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单价（元）</w:t>
            </w:r>
            <w:r/>
          </w:p>
        </w:tc>
        <w:tc>
          <w:tcPr>
            <w:shd w:val="clear" w:color="auto" w:fill="ffffff"/>
            <w:tcBorders>
              <w:top w:val="single" w:color="auto" w:sz="8" w:space="0"/>
            </w:tcBorders>
            <w:tcW w:w="1424"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金额（元）</w:t>
            </w:r>
            <w:r/>
          </w:p>
        </w:tc>
        <w:tc>
          <w:tcPr>
            <w:shd w:val="clear" w:color="auto" w:fill="ffffff"/>
            <w:tcBorders>
              <w:top w:val="single" w:color="auto" w:sz="8" w:space="0"/>
            </w:tcBorders>
            <w:tcW w:w="970"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备注</w:t>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1</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2</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3</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4</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5</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6</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5" w:hRule="exact"/>
        </w:trPr>
        <w:tc>
          <w:tcPr>
            <w:gridSpan w:val="2"/>
            <w:shd w:val="clear" w:color="auto" w:fill="ffffff"/>
            <w:tcBorders>
              <w:bottom w:val="single" w:color="auto" w:sz="8" w:space="0"/>
            </w:tcBorders>
            <w:tcW w:w="117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工时费合计金额（元）</w:t>
            </w:r>
            <w:r/>
          </w:p>
        </w:tc>
        <w:tc>
          <w:tcPr>
            <w:gridSpan w:val="4"/>
            <w:shd w:val="clear" w:color="auto" w:fill="ffffff"/>
            <w:tcBorders>
              <w:bottom w:val="single" w:color="auto" w:sz="8" w:space="0"/>
            </w:tcBorders>
            <w:tcW w:w="3823"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bl>
    <w:p>
      <w:pPr>
        <w:jc w:val="left"/>
        <w:spacing w:line="1" w:lineRule="exact"/>
        <w:rPr>
          <w:rFonts w:ascii="Times New Roman" w:hAnsi="Times New Roman" w:eastAsia="仿宋_GB2312" w:cs="仿宋_GB2312"/>
          <w:color w:val="auto"/>
          <w:szCs w:val="21"/>
          <w:highlight w:val="none"/>
        </w:rPr>
      </w:pPr>
      <w:r>
        <w:rPr>
          <w:rFonts w:ascii="Times New Roman" w:hAnsi="Times New Roman" w:eastAsia="仿宋_GB2312" w:cs="仿宋_GB2312"/>
          <w:color w:val="auto"/>
          <w:szCs w:val="21"/>
          <w:highlight w:val="none"/>
        </w:rPr>
      </w:r>
      <w:r/>
    </w:p>
    <w:p>
      <w:pPr>
        <w:spacing w:line="240" w:lineRule="exact"/>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表三材料费</w:t>
      </w:r>
      <w:r/>
    </w:p>
    <w:tbl>
      <w:tblPr>
        <w:tblStyle w:val="737"/>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97"/>
        <w:gridCol w:w="1705"/>
        <w:gridCol w:w="1596"/>
        <w:gridCol w:w="1186"/>
        <w:gridCol w:w="1454"/>
        <w:gridCol w:w="1317"/>
        <w:gridCol w:w="1899"/>
      </w:tblGrid>
      <w:tr>
        <w:trPr>
          <w:jc w:val="center"/>
          <w:trHeight w:val="266" w:hRule="exact"/>
        </w:trPr>
        <w:tc>
          <w:tcPr>
            <w:shd w:val="clear" w:color="auto" w:fill="ffffff"/>
            <w:tcBorders>
              <w:top w:val="single" w:color="auto" w:sz="8" w:space="0"/>
            </w:tcBorders>
            <w:tcW w:w="306"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73"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材料名称</w:t>
            </w:r>
            <w:r/>
          </w:p>
        </w:tc>
        <w:tc>
          <w:tcPr>
            <w:shd w:val="clear" w:color="auto" w:fill="ffffff"/>
            <w:tcBorders>
              <w:top w:val="single" w:color="auto" w:sz="8" w:space="0"/>
            </w:tcBorders>
            <w:tcW w:w="818"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厂牌规格</w:t>
            </w:r>
            <w:r/>
          </w:p>
        </w:tc>
        <w:tc>
          <w:tcPr>
            <w:shd w:val="clear" w:color="auto" w:fill="ffffff"/>
            <w:tcBorders>
              <w:top w:val="single" w:color="auto" w:sz="8" w:space="0"/>
            </w:tcBorders>
            <w:tcW w:w="608"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单位</w:t>
            </w:r>
            <w:r/>
          </w:p>
        </w:tc>
        <w:tc>
          <w:tcPr>
            <w:shd w:val="clear" w:color="auto" w:fill="ffffff"/>
            <w:tcBorders>
              <w:top w:val="single" w:color="auto" w:sz="8" w:space="0"/>
            </w:tcBorders>
            <w:tcW w:w="745"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数量</w:t>
            </w:r>
            <w:r/>
          </w:p>
        </w:tc>
        <w:tc>
          <w:tcPr>
            <w:shd w:val="clear" w:color="auto" w:fill="ffffff"/>
            <w:tcBorders>
              <w:top w:val="single" w:color="auto" w:sz="8" w:space="0"/>
            </w:tcBorders>
            <w:tcW w:w="675"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单价（元）</w:t>
            </w:r>
            <w:r/>
          </w:p>
        </w:tc>
        <w:tc>
          <w:tcPr>
            <w:shd w:val="clear" w:color="auto" w:fill="ffffff"/>
            <w:tcBorders>
              <w:top w:val="single" w:color="auto" w:sz="8" w:space="0"/>
            </w:tcBorders>
            <w:tcW w:w="971"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金额（元）</w:t>
            </w:r>
            <w:r/>
          </w:p>
        </w:tc>
      </w:tr>
      <w:tr>
        <w:trPr>
          <w:jc w:val="center"/>
          <w:trHeight w:val="253" w:hRule="exact"/>
        </w:trPr>
        <w:tc>
          <w:tcPr>
            <w:shd w:val="clear" w:color="auto" w:fill="ffffff"/>
            <w:tcW w:w="30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1</w:t>
            </w:r>
            <w:r/>
          </w:p>
        </w:tc>
        <w:tc>
          <w:tcPr>
            <w:shd w:val="clear" w:color="auto" w:fill="ffffff"/>
            <w:tcW w:w="873"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53" w:hRule="exact"/>
        </w:trPr>
        <w:tc>
          <w:tcPr>
            <w:shd w:val="clear" w:color="auto" w:fill="ffffff"/>
            <w:tcW w:w="30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2</w:t>
            </w:r>
            <w:r/>
          </w:p>
        </w:tc>
        <w:tc>
          <w:tcPr>
            <w:shd w:val="clear" w:color="auto" w:fill="ffffff"/>
            <w:tcW w:w="873"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53" w:hRule="exact"/>
        </w:trPr>
        <w:tc>
          <w:tcPr>
            <w:shd w:val="clear" w:color="auto" w:fill="ffffff"/>
            <w:tcW w:w="30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3</w:t>
            </w:r>
            <w:r/>
          </w:p>
        </w:tc>
        <w:tc>
          <w:tcPr>
            <w:shd w:val="clear" w:color="auto" w:fill="ffffff"/>
            <w:tcW w:w="873"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45" w:hRule="exact"/>
        </w:trPr>
        <w:tc>
          <w:tcPr>
            <w:shd w:val="clear" w:color="auto" w:fill="ffffff"/>
            <w:tcW w:w="30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4</w:t>
            </w:r>
            <w:r/>
          </w:p>
        </w:tc>
        <w:tc>
          <w:tcPr>
            <w:shd w:val="clear" w:color="auto" w:fill="ffffff"/>
            <w:tcW w:w="873"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3" w:hRule="exact"/>
        </w:trPr>
        <w:tc>
          <w:tcPr>
            <w:shd w:val="clear" w:color="auto" w:fill="ffffff"/>
            <w:tcW w:w="30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5</w:t>
            </w:r>
            <w:r/>
          </w:p>
        </w:tc>
        <w:tc>
          <w:tcPr>
            <w:shd w:val="clear" w:color="auto" w:fill="ffffff"/>
            <w:tcW w:w="873"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63" w:hRule="exact"/>
        </w:trPr>
        <w:tc>
          <w:tcPr>
            <w:shd w:val="clear" w:color="auto" w:fill="ffffff"/>
            <w:tcW w:w="30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6</w:t>
            </w:r>
            <w:r/>
          </w:p>
        </w:tc>
        <w:tc>
          <w:tcPr>
            <w:shd w:val="clear" w:color="auto" w:fill="ffffff"/>
            <w:tcW w:w="873"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3" w:hRule="exact"/>
        </w:trPr>
        <w:tc>
          <w:tcPr>
            <w:gridSpan w:val="2"/>
            <w:shd w:val="clear" w:color="auto" w:fill="ffffff"/>
            <w:tcW w:w="1180"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en-US" w:eastAsia="zh-CN"/>
              </w:rPr>
              <w:t xml:space="preserve">送</w:t>
            </w:r>
            <w:r>
              <w:rPr>
                <w:rFonts w:hint="eastAsia" w:ascii="Times New Roman" w:hAnsi="Times New Roman" w:cs="仿宋_GB2312"/>
                <w:color w:val="auto"/>
                <w:szCs w:val="21"/>
                <w:highlight w:val="none"/>
                <w:lang w:val="zh-TW" w:eastAsia="zh-TW"/>
              </w:rPr>
              <w:t xml:space="preserve">修方自带配件：</w:t>
            </w:r>
            <w:r/>
          </w:p>
        </w:tc>
        <w:tc>
          <w:tcPr>
            <w:gridSpan w:val="5"/>
            <w:shd w:val="clear" w:color="auto" w:fill="ffffff"/>
            <w:tcW w:w="3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449" w:hRule="exact"/>
        </w:trPr>
        <w:tc>
          <w:tcPr>
            <w:gridSpan w:val="2"/>
            <w:shd w:val="clear" w:color="auto" w:fill="ffffff"/>
            <w:tcBorders>
              <w:bottom w:val="single" w:color="auto" w:sz="8" w:space="0"/>
            </w:tcBorders>
            <w:tcW w:w="1180"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材料费合计金额（元）</w:t>
            </w:r>
            <w:r/>
          </w:p>
        </w:tc>
        <w:tc>
          <w:tcPr>
            <w:gridSpan w:val="5"/>
            <w:shd w:val="clear" w:color="auto" w:fill="ffffff"/>
            <w:tcBorders>
              <w:bottom w:val="single" w:color="auto" w:sz="8" w:space="0"/>
            </w:tcBorders>
            <w:tcW w:w="3819" w:type="pct"/>
            <w:vAlign w:val="center"/>
            <w:textDirection w:val="lrTb"/>
            <w:noWrap w:val="false"/>
          </w:tcPr>
          <w:p>
            <w:pPr>
              <w:jc w:val="center"/>
              <w:spacing w:line="220" w:lineRule="exact"/>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r>
    </w:tbl>
    <w:p>
      <w:pPr>
        <w:jc w:val="left"/>
        <w:spacing w:line="1"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260" w:lineRule="exact"/>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友情提醒：</w:t>
      </w:r>
      <w:r/>
    </w:p>
    <w:p>
      <w:pPr>
        <w:spacing w:line="260" w:lineRule="exact"/>
        <w:tabs>
          <w:tab w:val="left" w:pos="344" w:leader="none"/>
        </w:tabs>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1、是否有托修人支付费用更换的旧配件：</w:t>
      </w:r>
      <w:r/>
    </w:p>
    <w:p>
      <w:pPr>
        <w:ind w:firstLine="320"/>
        <w:spacing w:line="260" w:lineRule="exact"/>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□旧配件已确认，并由托修方回收□旧配件已确认，托修方声明放弃</w:t>
      </w:r>
      <w:r>
        <w:rPr>
          <w:rFonts w:ascii="Wingdings 2" w:hAnsi="Wingdings 2" w:eastAsia="Wingdings 2" w:cs="Wingdings 2"/>
          <w:color w:val="auto"/>
          <w:sz w:val="22"/>
          <w:lang w:val="zh-TW" w:eastAsia="zh-TW"/>
        </w:rPr>
        <w:t xml:space="preserve">£</w:t>
      </w:r>
      <w:r>
        <w:rPr>
          <w:rFonts w:hint="eastAsia" w:ascii="宋体" w:hAnsi="宋体" w:eastAsia="宋体" w:cs="宋体"/>
          <w:color w:val="auto"/>
          <w:sz w:val="22"/>
          <w:lang w:val="zh-TW" w:eastAsia="zh-TW"/>
        </w:rPr>
        <w:t xml:space="preserve">无旧配件</w:t>
      </w:r>
      <w:r/>
    </w:p>
    <w:p>
      <w:pPr>
        <w:spacing w:line="260" w:lineRule="exact"/>
        <w:tabs>
          <w:tab w:val="left" w:pos="351" w:leader="none"/>
        </w:tabs>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2、结算清单项目及应付金额经双方核实，客户签字后生效。</w:t>
      </w:r>
      <w:r/>
    </w:p>
    <w:p>
      <w:pPr>
        <w:ind w:left="4540"/>
        <w:spacing w:line="260" w:lineRule="exact"/>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r>
      <w:r/>
    </w:p>
    <w:p>
      <w:pPr>
        <w:ind w:left="4540"/>
        <w:spacing w:line="260" w:lineRule="exact"/>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承修方（盖章）：</w:t>
      </w:r>
      <w:r/>
    </w:p>
    <w:p>
      <w:pPr>
        <w:ind w:firstLine="4512"/>
        <w:spacing w:line="260" w:lineRule="exact"/>
        <w:tabs>
          <w:tab w:val="left" w:pos="4489" w:leader="none"/>
          <w:tab w:val="left" w:pos="5835" w:leader="none"/>
        </w:tabs>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客户签字：</w:t>
      </w:r>
      <w:r>
        <w:rPr>
          <w:rFonts w:hint="eastAsia" w:ascii="宋体" w:hAnsi="宋体" w:eastAsia="宋体" w:cs="宋体"/>
          <w:color w:val="auto"/>
          <w:sz w:val="22"/>
          <w:lang w:val="zh-TW" w:eastAsia="zh-TW"/>
        </w:rPr>
        <w:tab/>
      </w:r>
      <w:r/>
    </w:p>
    <w:p>
      <w:pPr>
        <w:ind w:firstLine="4512"/>
        <w:spacing w:line="260" w:lineRule="exact"/>
        <w:tabs>
          <w:tab w:val="left" w:pos="4489" w:leader="none"/>
          <w:tab w:val="left" w:pos="5835" w:leader="none"/>
        </w:tabs>
        <w:rPr>
          <w:rFonts w:hint="eastAsia"/>
        </w:rPr>
        <w:sectPr>
          <w:footerReference w:type="default" r:id="rId11"/>
          <w:footnotePr/>
          <w:endnotePr/>
          <w:type w:val="nextPage"/>
          <w:pgSz w:w="11900" w:h="16838" w:orient="portrait"/>
          <w:pgMar w:top="1440" w:right="1080" w:bottom="1440" w:left="1080" w:header="0" w:footer="1191" w:gutter="0"/>
          <w:pgNumType w:start="1"/>
          <w:cols w:num="1" w:sep="0" w:space="0" w:equalWidth="1"/>
          <w:docGrid w:linePitch="360"/>
        </w:sectPr>
      </w:pPr>
      <w:r>
        <w:rPr>
          <w:rFonts w:hint="eastAsia" w:ascii="宋体" w:hAnsi="宋体" w:eastAsia="宋体" w:cs="宋体"/>
          <w:color w:val="auto"/>
          <w:sz w:val="22"/>
          <w:lang w:val="zh-TW" w:eastAsia="zh-TW"/>
        </w:rPr>
        <w:t xml:space="preserve">日期：年月日</w:t>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212" w:name="_Toc183693305"/>
      <w:r/>
      <w:bookmarkStart w:id="213" w:name="_Toc128039582"/>
      <w:r/>
      <w:bookmarkStart w:id="214" w:name="_Toc27993"/>
      <w:r>
        <w:rPr>
          <w:rFonts w:hint="eastAsia" w:ascii="宋体" w:hAnsi="宋体" w:eastAsia="宋体" w:cs="宋体"/>
          <w:b/>
          <w:bCs/>
          <w:color w:val="000000"/>
          <w:sz w:val="32"/>
          <w:szCs w:val="32"/>
          <w:highlight w:val="none"/>
        </w:rPr>
        <w:t xml:space="preserve">第四章 采购需求</w:t>
      </w:r>
      <w:bookmarkEnd w:id="212"/>
      <w:r/>
      <w:bookmarkEnd w:id="213"/>
      <w:r/>
      <w:bookmarkEnd w:id="214"/>
      <w:r/>
      <w:r/>
    </w:p>
    <w:p>
      <w:pPr>
        <w:ind w:firstLine="482"/>
        <w:keepLines w:val="0"/>
        <w:keepNext w:val="0"/>
        <w:pageBreakBefore w:val="0"/>
        <w:spacing w:line="47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项目类型：服务类项目</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一、采购需求</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为东台市公务用车提供维修和保养服务，主要包括整车维修、维护保养、维修救援、汽车轮胎更换，做好车辆安全检查、水电气检查等服务，有安全隐患的车辆及时提出维修方案，做好车辆检查台账。</w:t>
      </w:r>
      <w:r/>
    </w:p>
    <w:p>
      <w:pPr>
        <w:pStyle w:val="920"/>
        <w:ind w:firstLine="482"/>
        <w:keepLines w:val="0"/>
        <w:keepNext w:val="0"/>
        <w:pageBreakBefore w:val="0"/>
        <w:spacing w:line="470" w:lineRule="exact"/>
        <w:widowControl w:val="off"/>
        <w:rPr>
          <w:rFonts w:hint="default" w:ascii="仿宋_GB2312" w:hAnsi="仿宋_GB2312" w:eastAsia="仿宋_GB2312" w:cs="Times New Roman"/>
          <w:b/>
          <w:bCs/>
          <w:color w:val="000000"/>
          <w:sz w:val="24"/>
          <w:szCs w:val="22"/>
          <w:highlight w:val="none"/>
          <w:lang w:val="en-US" w:eastAsia="zh-CN" w:bidi="ar-SA"/>
        </w:rPr>
      </w:pPr>
      <w:r>
        <w:rPr>
          <w:rFonts w:hint="eastAsia" w:cs="Times New Roman"/>
          <w:b/>
          <w:bCs/>
          <w:color w:val="auto"/>
          <w:sz w:val="24"/>
          <w:szCs w:val="22"/>
          <w:highlight w:val="none"/>
          <w:lang w:val="en-US" w:eastAsia="zh-CN" w:bidi="ar-SA"/>
        </w:rPr>
        <w:t xml:space="preserve">二、</w:t>
      </w:r>
      <w:r>
        <w:rPr>
          <w:rFonts w:hint="default" w:cs="Times New Roman"/>
          <w:b/>
          <w:bCs/>
          <w:color w:val="auto"/>
          <w:sz w:val="24"/>
          <w:szCs w:val="22"/>
          <w:highlight w:val="none"/>
          <w:lang w:val="en-US" w:eastAsia="zh-CN" w:bidi="ar-SA"/>
        </w:rPr>
        <w:t xml:space="preserve">服务要求</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汽车维修的质量保证符合现行交通部门规定的质量保证期限等有关机动车辆维修的管理规定，各</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须不断提高服务质量、提升维修服务能力和水平。</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1、</w:t>
      </w:r>
      <w:r>
        <w:rPr>
          <w:rFonts w:hint="default" w:cs="Times New Roman"/>
          <w:b/>
          <w:bCs/>
          <w:color w:val="auto"/>
          <w:sz w:val="24"/>
          <w:szCs w:val="22"/>
          <w:highlight w:val="none"/>
          <w:lang w:val="en-US" w:eastAsia="zh-CN" w:bidi="ar-SA"/>
        </w:rPr>
        <w:t xml:space="preserve">服务机构设置及人员配备</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（1）供应商</w:t>
      </w:r>
      <w:r>
        <w:rPr>
          <w:rFonts w:hint="default" w:cs="Times New Roman"/>
          <w:color w:val="auto"/>
          <w:sz w:val="24"/>
          <w:szCs w:val="22"/>
          <w:highlight w:val="none"/>
          <w:lang w:val="en-US" w:eastAsia="zh-CN" w:bidi="ar-SA"/>
        </w:rPr>
        <w:t xml:space="preserve">有与其经营业务相适应的维修车辆停车场和生产厂房，有与其经营业务相适应的设备、设施，有必要的技术人员。</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w:t>
      </w:r>
      <w:r>
        <w:rPr>
          <w:rFonts w:hint="default" w:cs="Times New Roman"/>
          <w:color w:val="auto"/>
          <w:sz w:val="24"/>
          <w:szCs w:val="22"/>
          <w:highlight w:val="none"/>
          <w:lang w:val="en-US" w:eastAsia="zh-CN" w:bidi="ar-SA"/>
        </w:rPr>
        <w:t xml:space="preserve">针对本项目成立健全的专门服务小组，分管领导亲自负责，分工明确（应有具体成员名单，包括姓名、所在公司、职务、职称、工作职责、联系方式等）。</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w:t>
      </w:r>
      <w:r>
        <w:rPr>
          <w:rFonts w:hint="default" w:cs="Times New Roman"/>
          <w:color w:val="auto"/>
          <w:sz w:val="24"/>
          <w:szCs w:val="22"/>
          <w:highlight w:val="none"/>
          <w:lang w:val="en-US" w:eastAsia="zh-CN" w:bidi="ar-SA"/>
        </w:rPr>
        <w:t xml:space="preserve">人员配备基本要求：</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项目经理：指定1名，负责按照本项目的有关内容为各维修单位提供各类维修服务，包括必要的组织与协调工作。</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客户服务专员：至少1名，协助项目经理提供维修服务及相关统计数据的核对与报送。</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财务结算人员：至少配备1名，负责检查每份政府采购定点维修结算单、售后服务调查及接受投诉处理和情况反馈。</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2、</w:t>
      </w:r>
      <w:r>
        <w:rPr>
          <w:rFonts w:hint="default" w:cs="Times New Roman"/>
          <w:b/>
          <w:bCs/>
          <w:color w:val="auto"/>
          <w:sz w:val="24"/>
          <w:szCs w:val="22"/>
          <w:highlight w:val="none"/>
          <w:lang w:val="en-US" w:eastAsia="zh-CN" w:bidi="ar-SA"/>
        </w:rPr>
        <w:t xml:space="preserve">维修服务</w:t>
      </w:r>
      <w:r/>
    </w:p>
    <w:p>
      <w:pPr>
        <w:pStyle w:val="920"/>
        <w:ind w:firstLine="480"/>
        <w:keepLines w:val="0"/>
        <w:keepNext w:val="0"/>
        <w:pageBreakBefore w:val="0"/>
        <w:spacing w:line="470" w:lineRule="exact"/>
        <w:widowControl w:val="off"/>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（1）保证送修方获得优先服务的权利，做到随到随修，急用急修，小修不过夜，大修不超过预定期限，保证托修方及时用车。</w:t>
      </w:r>
      <w:r/>
    </w:p>
    <w:p>
      <w:pPr>
        <w:pStyle w:val="920"/>
        <w:ind w:firstLine="480"/>
        <w:keepLines w:val="0"/>
        <w:keepNext w:val="0"/>
        <w:pageBreakBefore w:val="0"/>
        <w:spacing w:line="470" w:lineRule="exact"/>
        <w:widowControl w:val="off"/>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（2）须承诺应设有24小时服务电话，在接到送修的采购人报修电话后半小时内予以响应，并能免费提供上门维修服务。</w:t>
      </w:r>
      <w:r>
        <w:rPr>
          <w:rFonts w:hint="eastAsia" w:cs="Times New Roman"/>
          <w:b/>
          <w:bCs/>
          <w:color w:val="auto"/>
          <w:sz w:val="24"/>
          <w:szCs w:val="22"/>
          <w:highlight w:val="none"/>
          <w:lang w:val="en-US" w:eastAsia="zh-CN" w:bidi="ar-SA"/>
        </w:rPr>
        <w:t xml:space="preserve">（提供承诺函格式见附表十六）</w:t>
      </w:r>
      <w:r>
        <w:rPr>
          <w:rFonts w:hint="eastAsia" w:cs="Times New Roman"/>
          <w:color w:val="auto"/>
          <w:sz w:val="24"/>
          <w:szCs w:val="22"/>
          <w:highlight w:val="none"/>
          <w:lang w:val="en-US" w:eastAsia="zh-CN" w:bidi="ar-SA"/>
        </w:rPr>
        <w:t xml:space="preserve">。</w:t>
      </w:r>
      <w:r/>
    </w:p>
    <w:p>
      <w:pPr>
        <w:pStyle w:val="920"/>
        <w:ind w:firstLine="480"/>
        <w:keepLines w:val="0"/>
        <w:keepNext w:val="0"/>
        <w:pageBreakBefore w:val="0"/>
        <w:spacing w:line="470" w:lineRule="exact"/>
        <w:widowControl w:val="off"/>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（3）须承诺应为送修的采购人提供紧急救援服务，配备有明显标志的抢修车，东台市区范围内应能在1小时内派人赶到救援现场。</w:t>
      </w:r>
      <w:r>
        <w:rPr>
          <w:rFonts w:hint="eastAsia" w:cs="Times New Roman"/>
          <w:b/>
          <w:bCs/>
          <w:color w:val="auto"/>
          <w:sz w:val="24"/>
          <w:szCs w:val="22"/>
          <w:highlight w:val="none"/>
          <w:lang w:val="en-US" w:eastAsia="zh-CN" w:bidi="ar-SA"/>
        </w:rPr>
        <w:t xml:space="preserve">（提供承诺函格式见附表十六）</w:t>
      </w:r>
      <w:r>
        <w:rPr>
          <w:rFonts w:hint="eastAsia" w:cs="Times New Roman"/>
          <w:color w:val="auto"/>
          <w:sz w:val="24"/>
          <w:szCs w:val="22"/>
          <w:highlight w:val="none"/>
          <w:lang w:val="en-US" w:eastAsia="zh-CN" w:bidi="ar-SA"/>
        </w:rPr>
        <w:t xml:space="preserve">。</w:t>
      </w:r>
      <w:r/>
    </w:p>
    <w:p>
      <w:pPr>
        <w:pStyle w:val="920"/>
        <w:ind w:firstLine="480"/>
        <w:keepLines w:val="0"/>
        <w:keepNext w:val="0"/>
        <w:pageBreakBefore w:val="0"/>
        <w:spacing w:line="470" w:lineRule="exact"/>
        <w:widowControl w:val="off"/>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（4）送修车辆15公里内免费拖车施救，过路过桥费、燃油费全免，免费对维修的车辆进行洗车。送修车辆15公里外按每公里2元计算（往返双程计算），由送修方承担（该费用不包含在维修费用内）。</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（5）</w:t>
      </w:r>
      <w:r>
        <w:rPr>
          <w:rFonts w:hint="default" w:cs="Times New Roman"/>
          <w:color w:val="auto"/>
          <w:sz w:val="24"/>
          <w:szCs w:val="22"/>
          <w:highlight w:val="none"/>
          <w:lang w:val="en-US" w:eastAsia="zh-CN" w:bidi="ar-SA"/>
        </w:rPr>
        <w:t xml:space="preserve">车辆修理：</w:t>
      </w:r>
      <w:r/>
    </w:p>
    <w:p>
      <w:pPr>
        <w:pStyle w:val="920"/>
        <w:ind w:firstLine="24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ascii="宋体" w:eastAsia="宋体" w:cs="Times New Roman"/>
          <w:color w:val="auto"/>
          <w:sz w:val="24"/>
          <w:szCs w:val="22"/>
          <w:highlight w:val="none"/>
          <w:lang w:val="en-US" w:eastAsia="zh-CN" w:bidi="ar-SA"/>
        </w:rPr>
        <w:t xml:space="preserve"> </w:t>
      </w:r>
      <w:r>
        <w:rPr>
          <w:rFonts w:hint="default" w:cs="Times New Roman"/>
          <w:color w:val="auto"/>
          <w:sz w:val="24"/>
          <w:szCs w:val="22"/>
          <w:highlight w:val="none"/>
          <w:lang w:val="en-US" w:eastAsia="zh-CN" w:bidi="ar-SA"/>
        </w:rPr>
        <w:t xml:space="preserve">送修车辆以修复为原则，但涉及车辆行车安全的关键零部件(如：刹车系统、转向系统)，发生损坏经送修方确认后一律予以更换。维修车辆更换零部件应为原车辆使用件的原品牌、原产地、原型号的全新原厂件。更换零配件的旧品，</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不得扣留，</w:t>
      </w:r>
      <w:r>
        <w:rPr>
          <w:rFonts w:hint="eastAsia" w:cs="Times New Roman"/>
          <w:color w:val="auto"/>
          <w:sz w:val="24"/>
          <w:szCs w:val="22"/>
          <w:highlight w:val="none"/>
          <w:lang w:val="en-US" w:eastAsia="zh-CN" w:bidi="ar-SA"/>
        </w:rPr>
        <w:t xml:space="preserve">原则上由驾驶人员（送修人员）带回单位</w:t>
      </w:r>
      <w:r>
        <w:rPr>
          <w:rFonts w:hint="default" w:cs="Times New Roman"/>
          <w:color w:val="auto"/>
          <w:sz w:val="24"/>
          <w:szCs w:val="22"/>
          <w:highlight w:val="none"/>
          <w:lang w:val="en-US" w:eastAsia="zh-CN" w:bidi="ar-SA"/>
        </w:rPr>
        <w:t xml:space="preserve">，由送修单位复核验证留存</w:t>
      </w:r>
      <w:r>
        <w:rPr>
          <w:rFonts w:hint="eastAsia" w:cs="Times New Roman"/>
          <w:color w:val="auto"/>
          <w:sz w:val="24"/>
          <w:szCs w:val="22"/>
          <w:highlight w:val="none"/>
          <w:lang w:val="en-US" w:eastAsia="zh-CN" w:bidi="ar-SA"/>
        </w:rPr>
        <w:t xml:space="preserve">。</w:t>
      </w:r>
      <w:r>
        <w:rPr>
          <w:rFonts w:hint="default" w:cs="Times New Roman"/>
          <w:color w:val="auto"/>
          <w:sz w:val="24"/>
          <w:szCs w:val="22"/>
          <w:highlight w:val="none"/>
          <w:lang w:val="en-US" w:eastAsia="zh-CN" w:bidi="ar-SA"/>
        </w:rPr>
        <w:t xml:space="preserve">大修车辆根据管理要求须履行相关手续。</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3、</w:t>
      </w:r>
      <w:r>
        <w:rPr>
          <w:rFonts w:hint="default" w:cs="Times New Roman"/>
          <w:b/>
          <w:bCs/>
          <w:color w:val="auto"/>
          <w:sz w:val="24"/>
          <w:szCs w:val="22"/>
          <w:highlight w:val="none"/>
          <w:lang w:val="en-US" w:eastAsia="zh-CN" w:bidi="ar-SA"/>
        </w:rPr>
        <w:t xml:space="preserve">业务管理</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w:t>
      </w:r>
      <w:r>
        <w:rPr>
          <w:rFonts w:hint="default" w:cs="Times New Roman"/>
          <w:color w:val="auto"/>
          <w:sz w:val="24"/>
          <w:szCs w:val="22"/>
          <w:highlight w:val="none"/>
          <w:lang w:val="en-US" w:eastAsia="zh-CN" w:bidi="ar-SA"/>
        </w:rPr>
        <w:t xml:space="preserve">实行联络员制度。</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联络员应及时向</w:t>
      </w:r>
      <w:r>
        <w:rPr>
          <w:rFonts w:hint="eastAsia" w:cs="Times New Roman"/>
          <w:color w:val="auto"/>
          <w:sz w:val="24"/>
          <w:szCs w:val="22"/>
          <w:highlight w:val="none"/>
          <w:lang w:val="en-US" w:eastAsia="zh-CN" w:bidi="ar-SA"/>
        </w:rPr>
        <w:t xml:space="preserve">招标人</w:t>
      </w:r>
      <w:r>
        <w:rPr>
          <w:rFonts w:hint="default" w:cs="Times New Roman"/>
          <w:color w:val="auto"/>
          <w:sz w:val="24"/>
          <w:szCs w:val="22"/>
          <w:highlight w:val="none"/>
          <w:lang w:val="en-US" w:eastAsia="zh-CN" w:bidi="ar-SA"/>
        </w:rPr>
        <w:t xml:space="preserve">提供有关信息及资料。</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（2）征集人</w:t>
      </w:r>
      <w:r>
        <w:rPr>
          <w:rFonts w:hint="default" w:cs="Times New Roman"/>
          <w:color w:val="auto"/>
          <w:sz w:val="24"/>
          <w:szCs w:val="22"/>
          <w:highlight w:val="none"/>
          <w:lang w:val="en-US" w:eastAsia="zh-CN" w:bidi="ar-SA"/>
        </w:rPr>
        <w:t xml:space="preserve">建有“公务用车信息化管理平台”，</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须根据</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要求及时上报定点服务维修情况，并保证统计填报的维修情况数据资料准确、完整，无隐瞒，同时配合</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填录“公务用车信息化管理平台”相关信息、资料。</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w:t>
      </w:r>
      <w:r>
        <w:rPr>
          <w:rFonts w:hint="default" w:cs="Times New Roman"/>
          <w:color w:val="auto"/>
          <w:sz w:val="24"/>
          <w:szCs w:val="22"/>
          <w:highlight w:val="none"/>
          <w:lang w:val="en-US" w:eastAsia="zh-CN" w:bidi="ar-SA"/>
        </w:rPr>
        <w:t xml:space="preserve">承诺对公务用车建立专门的维修档案，实行专户管理，开展跟踪服务</w:t>
      </w:r>
      <w:r>
        <w:rPr>
          <w:rFonts w:hint="eastAsia" w:cs="Times New Roman"/>
          <w:color w:val="auto"/>
          <w:sz w:val="24"/>
          <w:szCs w:val="22"/>
          <w:highlight w:val="none"/>
          <w:lang w:val="en-US" w:eastAsia="zh-CN" w:bidi="ar-SA"/>
        </w:rPr>
        <w:t xml:space="preserve">。</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（4）</w:t>
      </w:r>
      <w:r>
        <w:rPr>
          <w:rFonts w:hint="default" w:cs="Times New Roman"/>
          <w:color w:val="auto"/>
          <w:sz w:val="24"/>
          <w:szCs w:val="22"/>
          <w:highlight w:val="none"/>
          <w:lang w:val="en-US" w:eastAsia="zh-CN" w:bidi="ar-SA"/>
        </w:rPr>
        <w:t xml:space="preserve">承诺配合</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、财政部门等部门对送修车辆进行逐单审核以及对维修情况的抽查检查工作，并及时对审核检查中发现的与本次</w:t>
      </w:r>
      <w:r>
        <w:rPr>
          <w:rFonts w:hint="eastAsia" w:cs="Times New Roman"/>
          <w:color w:val="auto"/>
          <w:sz w:val="24"/>
          <w:szCs w:val="22"/>
          <w:highlight w:val="none"/>
          <w:lang w:val="en-US" w:eastAsia="zh-CN" w:bidi="ar-SA"/>
        </w:rPr>
        <w:t xml:space="preserve">征集</w:t>
      </w:r>
      <w:r>
        <w:rPr>
          <w:rFonts w:hint="default" w:cs="Times New Roman"/>
          <w:color w:val="auto"/>
          <w:sz w:val="24"/>
          <w:szCs w:val="22"/>
          <w:highlight w:val="none"/>
          <w:lang w:val="en-US" w:eastAsia="zh-CN" w:bidi="ar-SA"/>
        </w:rPr>
        <w:t xml:space="preserve">文件及</w:t>
      </w:r>
      <w:r>
        <w:rPr>
          <w:rFonts w:hint="eastAsia" w:cs="Times New Roman"/>
          <w:color w:val="auto"/>
          <w:sz w:val="24"/>
          <w:szCs w:val="22"/>
          <w:highlight w:val="none"/>
          <w:lang w:val="en-US" w:eastAsia="zh-CN" w:bidi="ar-SA"/>
        </w:rPr>
        <w:t xml:space="preserve">协议</w:t>
      </w:r>
      <w:r>
        <w:rPr>
          <w:rFonts w:hint="default" w:cs="Times New Roman"/>
          <w:color w:val="auto"/>
          <w:sz w:val="24"/>
          <w:szCs w:val="22"/>
          <w:highlight w:val="none"/>
          <w:lang w:val="en-US" w:eastAsia="zh-CN" w:bidi="ar-SA"/>
        </w:rPr>
        <w:t xml:space="preserve">内容不一致之处予以纠正。</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4、廉政要求</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在任何情况下都不得向送修方经办人给予任何形式的回扣，一经发现商业贿赂或其他腐败现象，</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可立即全面终止框架协议的执行，同时提请有关部门追究有关当事人的责任，</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根据造成的影响程度采取以下一种或多种方式的处罚措施：</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1、暂停维修资格；</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2、取消协议期内的维修资格、解除协议；</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3、自事件发生起，3年内限制其参加东台公务用车定点维修服务的市场准入；</w:t>
      </w:r>
      <w:r/>
    </w:p>
    <w:p>
      <w:pPr>
        <w:pStyle w:val="920"/>
        <w:ind w:firstLine="480"/>
        <w:keepLines w:val="0"/>
        <w:keepNext w:val="0"/>
        <w:pageBreakBefore w:val="0"/>
        <w:spacing w:line="470" w:lineRule="exact"/>
        <w:widowControl w:val="off"/>
        <w:rPr>
          <w:rFonts w:hint="eastAsia"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4、给</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或送修方造成损失的，依法追偿；</w:t>
      </w:r>
      <w:r/>
    </w:p>
    <w:p>
      <w:pPr>
        <w:numPr>
          <w:ilvl w:val="0"/>
          <w:numId w:val="0"/>
        </w:numPr>
        <w:ind w:firstLine="482"/>
        <w:jc w:val="left"/>
        <w:keepLines w:val="0"/>
        <w:keepNext w:val="0"/>
        <w:pageBreakBefore w:val="0"/>
        <w:spacing w:line="470" w:lineRule="exact"/>
        <w:widowControl/>
        <w:rPr>
          <w:rFonts w:hint="eastAsia" w:ascii="宋体" w:hAnsi="宋体" w:eastAsia="宋体" w:cs="宋体"/>
          <w:b w:val="0"/>
          <w:bCs w:val="0"/>
          <w:sz w:val="24"/>
          <w:szCs w:val="24"/>
        </w:rPr>
        <w:outlineLvl w:val="9"/>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送修手续</w:t>
      </w:r>
      <w:r/>
    </w:p>
    <w:p>
      <w:pPr>
        <w:numPr>
          <w:ilvl w:val="0"/>
          <w:numId w:val="0"/>
        </w:numPr>
        <w:ind w:firstLine="480"/>
        <w:jc w:val="left"/>
        <w:keepLines w:val="0"/>
        <w:keepNext w:val="0"/>
        <w:pageBreakBefore w:val="0"/>
        <w:spacing w:line="470" w:lineRule="exact"/>
        <w:widowControl/>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送修方送修车辆时必须填写</w:t>
      </w:r>
      <w:r>
        <w:rPr>
          <w:rFonts w:hint="eastAsia" w:ascii="宋体" w:hAnsi="宋体" w:eastAsia="宋体" w:cs="宋体"/>
          <w:b w:val="0"/>
          <w:bCs w:val="0"/>
          <w:color w:val="auto"/>
          <w:sz w:val="24"/>
          <w:szCs w:val="24"/>
        </w:rPr>
        <w:t xml:space="preserve">“委托修理单”（以下简称送修单）</w:t>
      </w:r>
      <w:r>
        <w:rPr>
          <w:rFonts w:hint="eastAsia" w:ascii="宋体" w:hAnsi="宋体" w:eastAsia="宋体" w:cs="宋体"/>
          <w:b w:val="0"/>
          <w:bCs w:val="0"/>
          <w:sz w:val="24"/>
          <w:szCs w:val="24"/>
        </w:rPr>
        <w:t xml:space="preserve">。送修单上应注明送修车辆的品牌型号、车辆牌照号、发动机号码、底盘号码，并经送修单位审核和加盖送修单位公章，同时需将行驶证提交给</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应对送修车辆进行仔细检查，并根据需要维修的项目和标准在送修单上注明维修总费用。</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必须在送修单上注明完成维修的时间。</w:t>
      </w:r>
      <w:r/>
    </w:p>
    <w:p>
      <w:pPr>
        <w:ind w:firstLine="480"/>
        <w:jc w:val="both"/>
        <w:keepLines w:val="0"/>
        <w:keepNext w:val="0"/>
        <w:pageBreakBefore w:val="0"/>
        <w:spacing w:line="47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在维修过程中，</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如发现其他故障需增加维修项目或延长维修时间，</w:t>
      </w:r>
      <w:r>
        <w:rPr>
          <w:rFonts w:hint="eastAsia" w:ascii="宋体" w:hAnsi="宋体" w:cs="宋体"/>
          <w:b w:val="0"/>
          <w:bCs w:val="0"/>
          <w:sz w:val="24"/>
          <w:szCs w:val="24"/>
          <w:lang w:eastAsia="zh-CN"/>
        </w:rPr>
        <w:t xml:space="preserve">应及时通知送修方</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经送修方同意后方可维修。</w:t>
      </w:r>
      <w:r>
        <w:rPr>
          <w:rFonts w:hint="eastAsia" w:ascii="宋体" w:hAnsi="宋体" w:eastAsia="宋体" w:cs="宋体"/>
          <w:b w:val="0"/>
          <w:bCs w:val="0"/>
          <w:color w:val="auto"/>
          <w:sz w:val="24"/>
          <w:szCs w:val="24"/>
        </w:rPr>
        <w:t xml:space="preserve"> </w:t>
      </w:r>
      <w:r/>
    </w:p>
    <w:p>
      <w:pPr>
        <w:pStyle w:val="920"/>
        <w:ind w:firstLine="480"/>
        <w:keepLines w:val="0"/>
        <w:keepNext w:val="0"/>
        <w:pageBreakBefore w:val="0"/>
        <w:spacing w:line="470" w:lineRule="exact"/>
        <w:widowControl w:val="off"/>
        <w:rPr>
          <w:rFonts w:hint="eastAsia" w:cs="Times New Roman"/>
          <w:b/>
          <w:bCs/>
          <w:color w:val="auto"/>
          <w:sz w:val="24"/>
          <w:szCs w:val="22"/>
          <w:highlight w:val="none"/>
          <w:lang w:val="en-US" w:eastAsia="zh-CN" w:bidi="ar-SA"/>
        </w:rPr>
      </w:pPr>
      <w:r>
        <w:rPr>
          <w:rFonts w:hint="eastAsia" w:ascii="宋体" w:hAnsi="宋体" w:eastAsia="宋体" w:cs="宋体"/>
          <w:b w:val="0"/>
          <w:bCs w:val="0"/>
          <w:color w:val="auto"/>
          <w:sz w:val="24"/>
          <w:szCs w:val="24"/>
          <w:lang w:val="en-US" w:eastAsia="zh-CN"/>
        </w:rPr>
        <w:t xml:space="preserve">5、</w:t>
      </w:r>
      <w:r>
        <w:rPr>
          <w:rFonts w:hint="eastAsia" w:cs="宋体"/>
          <w:b w:val="0"/>
          <w:bCs w:val="0"/>
          <w:color w:val="auto"/>
          <w:sz w:val="24"/>
          <w:szCs w:val="24"/>
          <w:lang w:val="en-US" w:eastAsia="zh-CN"/>
        </w:rPr>
        <w:t xml:space="preserve">服务结束后，供应商应将双发签字盖章确认的费用结算单信息录入“盐城市公务用车管理平台-维保管理模块”。</w:t>
      </w:r>
      <w:r/>
    </w:p>
    <w:p>
      <w:pPr>
        <w:pStyle w:val="920"/>
        <w:ind w:firstLine="482"/>
        <w:keepLines w:val="0"/>
        <w:keepNext w:val="0"/>
        <w:pageBreakBefore w:val="0"/>
        <w:spacing w:line="470" w:lineRule="exact"/>
        <w:widowControl w:val="off"/>
        <w:rPr>
          <w:rFonts w:hint="default"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四、质量要求</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提供维修服务时，本项目包含的各项内容均须符合《机动车维修管理规定》（交通运输部令2023年第14号）、《江苏省机动车维修管理条例》、《江苏省机动车维修结算工时定额与收费指南》、《机动车维修服务规范》（JT/T 816）以及相关法规的规定。</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在</w:t>
      </w:r>
      <w:r>
        <w:rPr>
          <w:rFonts w:hint="eastAsia" w:ascii="宋体" w:hAnsi="宋体" w:cs="宋体"/>
          <w:b w:val="0"/>
          <w:bCs w:val="0"/>
          <w:sz w:val="24"/>
          <w:szCs w:val="24"/>
          <w:lang w:val="en-US" w:eastAsia="zh-CN"/>
        </w:rPr>
        <w:t xml:space="preserve">送修方</w:t>
      </w:r>
      <w:r>
        <w:rPr>
          <w:rFonts w:hint="eastAsia" w:ascii="宋体" w:hAnsi="宋体" w:eastAsia="宋体" w:cs="宋体"/>
          <w:b w:val="0"/>
          <w:bCs w:val="0"/>
          <w:sz w:val="24"/>
          <w:szCs w:val="24"/>
        </w:rPr>
        <w:t xml:space="preserve">、</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双方约定的质量保证里程或时间内，因维修质量造成的机械事故和经济损失，由</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全部负责。</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highlight w:val="none"/>
        </w:rPr>
        <w:t xml:space="preserve">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rPr>
          <w:rFonts w:hint="eastAsia" w:ascii="宋体" w:hAnsi="宋体" w:eastAsia="宋体" w:cs="宋体"/>
          <w:b w:val="0"/>
          <w:bCs w:val="0"/>
          <w:sz w:val="24"/>
          <w:szCs w:val="24"/>
        </w:rPr>
        <w:t xml:space="preserve">。</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应保证维修所用材料是未使用过的原厂生产的合格正品（维修车辆更换零部件应为原车辆使用件的原品牌、原产地、原型号的全新原厂件），并完全符合</w:t>
      </w:r>
      <w:r>
        <w:rPr>
          <w:rFonts w:hint="eastAsia" w:ascii="宋体" w:hAnsi="宋体" w:eastAsia="宋体" w:cs="宋体"/>
          <w:b w:val="0"/>
          <w:bCs w:val="0"/>
          <w:sz w:val="24"/>
          <w:szCs w:val="24"/>
          <w:lang w:eastAsia="zh-CN"/>
        </w:rPr>
        <w:t xml:space="preserve">合同</w:t>
      </w:r>
      <w:r>
        <w:rPr>
          <w:rFonts w:hint="eastAsia" w:ascii="宋体" w:hAnsi="宋体" w:eastAsia="宋体" w:cs="宋体"/>
          <w:b w:val="0"/>
          <w:bCs w:val="0"/>
          <w:sz w:val="24"/>
          <w:szCs w:val="24"/>
        </w:rPr>
        <w:t xml:space="preserve">规定的质量和性能。</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如果</w:t>
      </w:r>
      <w:r>
        <w:rPr>
          <w:rFonts w:hint="eastAsia" w:ascii="宋体" w:hAnsi="宋体" w:cs="宋体"/>
          <w:b w:val="0"/>
          <w:bCs w:val="0"/>
          <w:color w:val="auto"/>
          <w:sz w:val="24"/>
          <w:szCs w:val="24"/>
          <w:lang w:val="en-US" w:eastAsia="zh-CN"/>
        </w:rPr>
        <w:t xml:space="preserve">因供应商维修产生的质量问题给送修方造成损失的应及时采取补救措施，若供应商未</w:t>
      </w:r>
      <w:r>
        <w:rPr>
          <w:rFonts w:hint="eastAsia" w:ascii="宋体" w:hAnsi="宋体" w:eastAsia="宋体" w:cs="宋体"/>
          <w:b w:val="0"/>
          <w:bCs w:val="0"/>
          <w:color w:val="auto"/>
          <w:sz w:val="24"/>
          <w:szCs w:val="24"/>
        </w:rPr>
        <w:t xml:space="preserve">在约定的时间内采取措施</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，送修方可</w:t>
      </w:r>
      <w:r>
        <w:rPr>
          <w:rFonts w:hint="eastAsia" w:ascii="宋体" w:hAnsi="宋体" w:cs="宋体"/>
          <w:b w:val="0"/>
          <w:bCs w:val="0"/>
          <w:color w:val="auto"/>
          <w:sz w:val="24"/>
          <w:szCs w:val="24"/>
          <w:lang w:val="en-US" w:eastAsia="zh-CN"/>
        </w:rPr>
        <w:t xml:space="preserve">自行</w:t>
      </w:r>
      <w:r>
        <w:rPr>
          <w:rFonts w:hint="eastAsia" w:ascii="宋体" w:hAnsi="宋体" w:eastAsia="宋体" w:cs="宋体"/>
          <w:b w:val="0"/>
          <w:bCs w:val="0"/>
          <w:color w:val="auto"/>
          <w:sz w:val="24"/>
          <w:szCs w:val="24"/>
        </w:rPr>
        <w:t xml:space="preserve">采取必要的补救措施，但风险和费用将由</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rPr>
        <w:t xml:space="preserve">承担。</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五、</w:t>
      </w:r>
      <w:r>
        <w:rPr>
          <w:rFonts w:hint="default" w:cs="Times New Roman"/>
          <w:b/>
          <w:bCs/>
          <w:color w:val="auto"/>
          <w:sz w:val="24"/>
          <w:szCs w:val="22"/>
          <w:highlight w:val="none"/>
          <w:lang w:val="en-US" w:eastAsia="zh-CN" w:bidi="ar-SA"/>
        </w:rPr>
        <w:t xml:space="preserve">费用结算</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w:t>
      </w:r>
      <w:r>
        <w:rPr>
          <w:rFonts w:hint="default" w:cs="Times New Roman"/>
          <w:color w:val="auto"/>
          <w:sz w:val="24"/>
          <w:szCs w:val="22"/>
          <w:highlight w:val="none"/>
          <w:lang w:val="en-US" w:eastAsia="zh-CN" w:bidi="ar-SA"/>
        </w:rPr>
        <w:t xml:space="preserve">使用统一的委托</w:t>
      </w:r>
      <w:r>
        <w:rPr>
          <w:rFonts w:hint="eastAsia" w:cs="Times New Roman"/>
          <w:color w:val="auto"/>
          <w:sz w:val="24"/>
          <w:szCs w:val="22"/>
          <w:highlight w:val="none"/>
          <w:lang w:val="en-US" w:eastAsia="zh-CN" w:bidi="ar-SA"/>
        </w:rPr>
        <w:t xml:space="preserve">送修</w:t>
      </w:r>
      <w:r>
        <w:rPr>
          <w:rFonts w:hint="default" w:cs="Times New Roman"/>
          <w:color w:val="auto"/>
          <w:sz w:val="24"/>
          <w:szCs w:val="22"/>
          <w:highlight w:val="none"/>
          <w:lang w:val="en-US" w:eastAsia="zh-CN" w:bidi="ar-SA"/>
        </w:rPr>
        <w:t xml:space="preserve">单，凭单修理。</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w:t>
      </w:r>
      <w:r>
        <w:rPr>
          <w:rFonts w:hint="default" w:cs="Times New Roman"/>
          <w:color w:val="auto"/>
          <w:sz w:val="24"/>
          <w:szCs w:val="22"/>
          <w:highlight w:val="none"/>
          <w:lang w:val="en-US" w:eastAsia="zh-CN" w:bidi="ar-SA"/>
        </w:rPr>
        <w:t xml:space="preserve">送修方应定期与</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结算一次。结算时</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应向送修方提供正式的维修发票、材料购进价格凭证、每次维修的送修单和“结算单”。</w:t>
      </w:r>
      <w:r/>
    </w:p>
    <w:p>
      <w:pPr>
        <w:ind w:firstLine="480"/>
        <w:keepLines w:val="0"/>
        <w:keepNext w:val="0"/>
        <w:pageBreakBefore w:val="0"/>
        <w:spacing w:line="470" w:lineRule="exact"/>
        <w:rPr>
          <w:rFonts w:hint="eastAsia" w:ascii="宋体" w:hAnsi="宋体" w:eastAsia="宋体" w:cs="宋体"/>
          <w:i w:val="0"/>
          <w:iCs w:val="0"/>
          <w:sz w:val="24"/>
          <w:szCs w:val="24"/>
          <w:highlight w:val="none"/>
        </w:rPr>
      </w:pPr>
      <w:r>
        <w:rPr>
          <w:rFonts w:hint="eastAsia" w:ascii="宋体" w:hAnsi="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维修费用</w:t>
      </w:r>
      <w:r/>
    </w:p>
    <w:p>
      <w:pPr>
        <w:ind w:firstLine="480"/>
        <w:keepLines w:val="0"/>
        <w:keepNext w:val="0"/>
        <w:pageBreakBefore w:val="0"/>
        <w:spacing w:line="470" w:lineRule="exact"/>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sz w:val="24"/>
          <w:szCs w:val="24"/>
          <w:lang w:val="en-US" w:eastAsia="zh-CN"/>
        </w:rPr>
        <w:t xml:space="preserve">维修结算总费用=工时费用（工时单价×工时定额）＋材料费用[材料购进价格×（1＋材料进销差价率%）]。上述所有费用均为含税价。</w:t>
      </w:r>
      <w:r/>
    </w:p>
    <w:p>
      <w:pPr>
        <w:pStyle w:val="769"/>
        <w:ind w:firstLine="480"/>
        <w:keepLines w:val="0"/>
        <w:keepNext w:val="0"/>
        <w:pageBreakBefore w:val="0"/>
        <w:spacing w:line="470" w:lineRule="exact"/>
        <w:rPr>
          <w:rFonts w:hint="eastAsia"/>
          <w:lang w:val="en-US" w:eastAsia="zh-CN"/>
        </w:rPr>
      </w:pPr>
      <w:r>
        <w:rPr>
          <w:rFonts w:hint="eastAsia" w:hAnsi="Calibri" w:cs="Times New Roman"/>
          <w:color w:val="auto"/>
          <w:sz w:val="24"/>
          <w:szCs w:val="22"/>
          <w:highlight w:val="none"/>
          <w:lang w:val="en-US" w:eastAsia="zh-CN" w:bidi="ar-SA"/>
        </w:rPr>
        <w:t xml:space="preserve">（2）</w:t>
      </w:r>
      <w:r>
        <w:rPr>
          <w:rFonts w:hint="eastAsia"/>
          <w:highlight w:val="none"/>
          <w:lang w:val="en-US" w:eastAsia="zh-CN"/>
        </w:rPr>
        <w:t xml:space="preserve">工时定额按《江苏省机动车维修结算工时定额与收费指南》（2014版）执行。</w:t>
      </w:r>
      <w:r/>
    </w:p>
    <w:p>
      <w:pPr>
        <w:pStyle w:val="769"/>
        <w:ind w:firstLine="480"/>
        <w:keepLines w:val="0"/>
        <w:keepNext w:val="0"/>
        <w:pageBreakBefore w:val="0"/>
        <w:spacing w:line="470" w:lineRule="exact"/>
        <w:rPr>
          <w:rFonts w:hint="eastAsia"/>
          <w:lang w:val="en-US" w:eastAsia="zh-CN"/>
        </w:rPr>
      </w:pPr>
      <w:r>
        <w:rPr>
          <w:rFonts w:hint="eastAsia" w:hAnsi="Calibri" w:cs="Times New Roman"/>
          <w:color w:val="auto"/>
          <w:sz w:val="24"/>
          <w:szCs w:val="22"/>
          <w:highlight w:val="none"/>
          <w:lang w:val="en-US" w:eastAsia="zh-CN" w:bidi="ar-SA"/>
        </w:rPr>
        <w:t xml:space="preserve">（3）</w:t>
      </w:r>
      <w:r>
        <w:rPr>
          <w:rFonts w:hint="eastAsia"/>
          <w:lang w:val="en-US" w:eastAsia="zh-CN"/>
        </w:rPr>
        <w:t xml:space="preserve">供应商需提供《江苏省机动车维修结算工时定额与收费指南》（2014版）和材料购进价凭证给采购人，便于送修方对价格的直接查询、核对，另也要将工时单价、材料进销差价率与结算有关的制度告知送修方。</w:t>
      </w:r>
      <w:r/>
    </w:p>
    <w:p>
      <w:pPr>
        <w:pStyle w:val="769"/>
        <w:ind w:firstLine="480"/>
        <w:keepLines w:val="0"/>
        <w:keepNext w:val="0"/>
        <w:pageBreakBefore w:val="0"/>
        <w:spacing w:line="470" w:lineRule="exact"/>
        <w:rPr>
          <w:rFonts w:hint="eastAsia"/>
          <w:lang w:val="en-US" w:eastAsia="zh-CN"/>
        </w:rPr>
      </w:pPr>
      <w:r>
        <w:rPr>
          <w:rFonts w:hint="eastAsia"/>
          <w:lang w:val="en-US" w:eastAsia="zh-CN"/>
        </w:rPr>
        <w:t xml:space="preserve">（4）供应商履行合同后，经送修方验收合格并签字确认后，依据采购合同的约定与送修方进行费用结算。</w:t>
      </w:r>
      <w:r/>
    </w:p>
    <w:p>
      <w:pPr>
        <w:pStyle w:val="769"/>
        <w:ind w:firstLine="480"/>
        <w:keepLines w:val="0"/>
        <w:keepNext w:val="0"/>
        <w:pageBreakBefore w:val="0"/>
        <w:spacing w:line="470" w:lineRule="exact"/>
        <w:rPr>
          <w:rFonts w:hint="eastAsia"/>
          <w:lang w:val="en-US" w:eastAsia="zh-CN"/>
        </w:rPr>
      </w:pPr>
      <w:r>
        <w:rPr>
          <w:rFonts w:hint="eastAsia"/>
          <w:lang w:val="en-US" w:eastAsia="zh-CN"/>
        </w:rPr>
        <w:t xml:space="preserve">（5）未尽事项见江苏省质量技术监督局发布的《机动车维修费用结算规范》（DB 32/T 2665-2014）。</w:t>
      </w:r>
      <w:r/>
    </w:p>
    <w:p>
      <w:pPr>
        <w:pStyle w:val="769"/>
        <w:ind w:firstLine="480"/>
        <w:keepLines w:val="0"/>
        <w:keepNext w:val="0"/>
        <w:pageBreakBefore w:val="0"/>
        <w:spacing w:line="470" w:lineRule="exact"/>
        <w:rPr>
          <w:rFonts w:hint="eastAsia"/>
          <w:lang w:val="en-US" w:eastAsia="zh-CN"/>
        </w:rPr>
      </w:pPr>
      <w:r>
        <w:rPr>
          <w:rFonts w:hint="eastAsia"/>
          <w:lang w:val="en-US" w:eastAsia="zh-CN"/>
        </w:rPr>
        <w:t xml:space="preserve">（6）送修车辆15公里内免费拖车施救，过路过桥费、燃油费全免，免费对维修的车辆进行洗车。送修车辆15公里外按每公里2元计算（往返双程计算），由送修方承担（该费用不包含在维修费用内）。</w:t>
      </w:r>
      <w:r/>
    </w:p>
    <w:p>
      <w:pPr>
        <w:ind w:firstLine="482"/>
        <w:keepLines w:val="0"/>
        <w:keepNext w:val="0"/>
        <w:pageBreakBefore w:val="0"/>
        <w:spacing w:line="470" w:lineRule="exact"/>
        <w:rPr>
          <w:rFonts w:hint="eastAsia" w:ascii="宋体" w:hAnsi="宋体" w:eastAsia="宋体" w:cs="宋体"/>
          <w:i w:val="0"/>
          <w:iCs w:val="0"/>
          <w:sz w:val="24"/>
          <w:szCs w:val="24"/>
          <w:highlight w:val="none"/>
        </w:rPr>
      </w:pPr>
      <w:r>
        <w:rPr>
          <w:rFonts w:hint="eastAsia" w:ascii="宋体" w:hAnsi="宋体" w:cs="宋体"/>
          <w:b/>
          <w:bCs/>
          <w:i w:val="0"/>
          <w:iCs w:val="0"/>
          <w:sz w:val="24"/>
          <w:szCs w:val="24"/>
          <w:highlight w:val="none"/>
          <w:lang w:val="en-US" w:eastAsia="zh-CN"/>
        </w:rPr>
        <w:t xml:space="preserve">六</w:t>
      </w:r>
      <w:r>
        <w:rPr>
          <w:rFonts w:hint="eastAsia" w:ascii="宋体" w:hAnsi="宋体" w:eastAsia="宋体" w:cs="宋体"/>
          <w:b/>
          <w:bCs/>
          <w:i w:val="0"/>
          <w:iCs w:val="0"/>
          <w:sz w:val="24"/>
          <w:szCs w:val="24"/>
          <w:highlight w:val="none"/>
          <w:lang w:val="en-US" w:eastAsia="zh-CN"/>
        </w:rPr>
        <w:t xml:space="preserve">、</w:t>
      </w:r>
      <w:r>
        <w:rPr>
          <w:rFonts w:hint="eastAsia" w:ascii="宋体" w:hAnsi="宋体" w:eastAsia="宋体" w:cs="宋体"/>
          <w:b/>
          <w:bCs/>
          <w:i w:val="0"/>
          <w:iCs w:val="0"/>
          <w:sz w:val="24"/>
          <w:szCs w:val="24"/>
          <w:highlight w:val="none"/>
        </w:rPr>
        <w:t xml:space="preserve">最高限价</w:t>
      </w:r>
      <w:r/>
    </w:p>
    <w:p>
      <w:pPr>
        <w:ind w:firstLine="480"/>
        <w:keepLines w:val="0"/>
        <w:keepNext w:val="0"/>
        <w:pageBreakBefore w:val="0"/>
        <w:spacing w:line="470" w:lineRule="exact"/>
        <w:rPr>
          <w:rFonts w:hint="eastAsia" w:ascii="宋体" w:hAnsi="宋体" w:eastAsia="宋体" w:cs="宋体"/>
          <w:b/>
          <w:bCs/>
          <w:i w:val="0"/>
          <w:iCs w:val="0"/>
          <w:sz w:val="24"/>
          <w:szCs w:val="24"/>
          <w:highlight w:val="none"/>
          <w:lang w:val="en-US" w:eastAsia="zh-CN"/>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工时单价限价：不高于</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元/工时，材料进销差价率限价：不高于</w:t>
      </w:r>
      <w:r>
        <w:rPr>
          <w:rFonts w:hint="eastAsia" w:ascii="宋体" w:hAnsi="宋体" w:cs="宋体"/>
          <w:i w:val="0"/>
          <w:iCs w:val="0"/>
          <w:sz w:val="24"/>
          <w:szCs w:val="24"/>
          <w:highlight w:val="none"/>
          <w:lang w:val="en-US" w:eastAsia="zh-CN"/>
        </w:rPr>
        <w:t xml:space="preserve">15</w:t>
      </w:r>
      <w:r>
        <w:rPr>
          <w:rFonts w:hint="eastAsia" w:ascii="宋体" w:hAnsi="宋体" w:eastAsia="宋体" w:cs="宋体"/>
          <w:i w:val="0"/>
          <w:iCs w:val="0"/>
          <w:sz w:val="24"/>
          <w:szCs w:val="24"/>
          <w:highlight w:val="none"/>
        </w:rPr>
        <w:t xml:space="preserve">%</w:t>
      </w:r>
      <w:r>
        <w:rPr>
          <w:rFonts w:hint="eastAsia" w:ascii="宋体" w:hAnsi="宋体" w:cs="宋体"/>
          <w:i w:val="0"/>
          <w:iCs w:val="0"/>
          <w:sz w:val="24"/>
          <w:szCs w:val="24"/>
          <w:highlight w:val="none"/>
          <w:lang w:eastAsia="zh-CN"/>
        </w:rPr>
        <w:t xml:space="preserve">。</w:t>
      </w:r>
      <w:r/>
    </w:p>
    <w:p>
      <w:pPr>
        <w:ind w:firstLine="480"/>
        <w:keepLines w:val="0"/>
        <w:keepNext w:val="0"/>
        <w:pageBreakBefore w:val="0"/>
        <w:spacing w:line="47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在框架协议有效期内，入围价格不受市场价格变化的影响，供应商须综合考虑在报价中。</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sz w:val="24"/>
          <w:szCs w:val="24"/>
          <w:highlight w:val="none"/>
          <w:lang w:val="en-US" w:eastAsia="zh-CN"/>
        </w:rPr>
        <w:t xml:space="preserve">2</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sz w:val="24"/>
          <w:szCs w:val="24"/>
          <w:highlight w:val="none"/>
        </w:rPr>
        <w:t xml:space="preserve">在框架协议期间，入围供应商第一阶段工时单价和材料进销差价率报价是采购人确定第二阶段成交供应商的最高限价，不得上调。</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七、</w:t>
      </w:r>
      <w:r>
        <w:rPr>
          <w:rFonts w:hint="default" w:cs="Times New Roman"/>
          <w:b/>
          <w:bCs/>
          <w:color w:val="auto"/>
          <w:sz w:val="24"/>
          <w:szCs w:val="22"/>
          <w:highlight w:val="none"/>
          <w:lang w:val="en-US" w:eastAsia="zh-CN" w:bidi="ar-SA"/>
        </w:rPr>
        <w:t xml:space="preserve">其他要求</w:t>
      </w:r>
      <w:r/>
    </w:p>
    <w:p>
      <w:pPr>
        <w:pStyle w:val="920"/>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（1）征集人</w:t>
      </w:r>
      <w:r>
        <w:rPr>
          <w:rFonts w:hint="default" w:cs="Times New Roman"/>
          <w:color w:val="auto"/>
          <w:sz w:val="24"/>
          <w:szCs w:val="22"/>
          <w:highlight w:val="none"/>
          <w:lang w:val="en-US" w:eastAsia="zh-CN" w:bidi="ar-SA"/>
        </w:rPr>
        <w:t xml:space="preserve">、评标委员会有权对</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所</w:t>
      </w:r>
      <w:r>
        <w:rPr>
          <w:rFonts w:hint="eastAsia" w:cs="Times New Roman"/>
          <w:color w:val="auto"/>
          <w:sz w:val="24"/>
          <w:szCs w:val="22"/>
          <w:highlight w:val="none"/>
          <w:lang w:val="en-US" w:eastAsia="zh-CN" w:bidi="ar-SA"/>
        </w:rPr>
        <w:t xml:space="preserve">提供</w:t>
      </w:r>
      <w:r>
        <w:rPr>
          <w:rFonts w:hint="default" w:cs="Times New Roman"/>
          <w:color w:val="auto"/>
          <w:sz w:val="24"/>
          <w:szCs w:val="22"/>
          <w:highlight w:val="none"/>
          <w:lang w:val="en-US" w:eastAsia="zh-CN" w:bidi="ar-SA"/>
        </w:rPr>
        <w:t xml:space="preserve">资料真伪进行查证，如经查实有</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提供虚假材料，有权取消其</w:t>
      </w:r>
      <w:r>
        <w:rPr>
          <w:rFonts w:hint="eastAsia" w:cs="Times New Roman"/>
          <w:color w:val="auto"/>
          <w:sz w:val="24"/>
          <w:szCs w:val="22"/>
          <w:highlight w:val="none"/>
          <w:lang w:val="en-US" w:eastAsia="zh-CN" w:bidi="ar-SA"/>
        </w:rPr>
        <w:t xml:space="preserve">入围</w:t>
      </w:r>
      <w:r>
        <w:rPr>
          <w:rFonts w:hint="default" w:cs="Times New Roman"/>
          <w:color w:val="auto"/>
          <w:sz w:val="24"/>
          <w:szCs w:val="22"/>
          <w:highlight w:val="none"/>
          <w:lang w:val="en-US" w:eastAsia="zh-CN" w:bidi="ar-SA"/>
        </w:rPr>
        <w:t xml:space="preserve">资格，并按有关规定严肃处理。</w:t>
      </w:r>
      <w:r/>
    </w:p>
    <w:p>
      <w:pPr>
        <w:ind w:firstLine="480"/>
        <w:keepLines w:val="0"/>
        <w:keepNext w:val="0"/>
        <w:pageBreakBefore w:val="0"/>
        <w:spacing w:line="470" w:lineRule="exact"/>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（2）供应商</w:t>
      </w:r>
      <w:r>
        <w:rPr>
          <w:rFonts w:hint="default" w:cs="Times New Roman"/>
          <w:color w:val="auto"/>
          <w:sz w:val="24"/>
          <w:szCs w:val="22"/>
          <w:highlight w:val="none"/>
          <w:lang w:val="en-US" w:eastAsia="zh-CN" w:bidi="ar-SA"/>
        </w:rPr>
        <w:t xml:space="preserve">须按照有关标准和要求提供服务，</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将根据相应的考核管理办法对</w:t>
      </w:r>
      <w:r>
        <w:rPr>
          <w:rFonts w:hint="eastAsia" w:cs="Times New Roman"/>
          <w:color w:val="auto"/>
          <w:sz w:val="24"/>
          <w:szCs w:val="22"/>
          <w:highlight w:val="none"/>
          <w:lang w:val="en-US" w:eastAsia="zh-CN" w:bidi="ar-SA"/>
        </w:rPr>
        <w:t xml:space="preserve">入围供应商</w:t>
      </w:r>
      <w:r>
        <w:rPr>
          <w:rFonts w:hint="default" w:cs="Times New Roman"/>
          <w:color w:val="auto"/>
          <w:sz w:val="24"/>
          <w:szCs w:val="22"/>
          <w:highlight w:val="none"/>
          <w:lang w:val="en-US" w:eastAsia="zh-CN" w:bidi="ar-SA"/>
        </w:rPr>
        <w:t xml:space="preserve">进行考核，对服务不达标的情形依据管理办法解除</w:t>
      </w:r>
      <w:r>
        <w:rPr>
          <w:rFonts w:hint="eastAsia" w:cs="Times New Roman"/>
          <w:color w:val="auto"/>
          <w:sz w:val="24"/>
          <w:szCs w:val="22"/>
          <w:highlight w:val="none"/>
          <w:lang w:val="en-US" w:eastAsia="zh-CN" w:bidi="ar-SA"/>
        </w:rPr>
        <w:t xml:space="preserve">协议</w:t>
      </w:r>
      <w:r>
        <w:rPr>
          <w:rFonts w:hint="default" w:cs="Times New Roman"/>
          <w:color w:val="auto"/>
          <w:sz w:val="24"/>
          <w:szCs w:val="22"/>
          <w:highlight w:val="none"/>
          <w:lang w:val="en-US" w:eastAsia="zh-CN" w:bidi="ar-SA"/>
        </w:rPr>
        <w:t xml:space="preserve">或暂停维修资格。</w:t>
      </w:r>
      <w:r/>
    </w:p>
    <w:p>
      <w:pPr>
        <w:pStyle w:val="920"/>
        <w:ind w:firstLine="482"/>
        <w:keepLines w:val="0"/>
        <w:keepNext w:val="0"/>
        <w:pageBreakBefore w:val="0"/>
        <w:spacing w:line="470" w:lineRule="exact"/>
        <w:widowControl w:val="off"/>
        <w:rPr>
          <w:rFonts w:hint="eastAsia" w:cs="宋体"/>
          <w:b w:val="0"/>
          <w:bCs w:val="0"/>
          <w:sz w:val="24"/>
          <w:szCs w:val="24"/>
          <w:lang w:val="en-US" w:eastAsia="zh-CN"/>
        </w:rPr>
      </w:pPr>
      <w:r>
        <w:rPr>
          <w:rFonts w:hint="eastAsia" w:cs="宋体"/>
          <w:b/>
          <w:bCs/>
          <w:sz w:val="24"/>
          <w:szCs w:val="24"/>
          <w:lang w:val="en-US" w:eastAsia="zh-CN"/>
        </w:rPr>
        <w:t xml:space="preserve">八、框架协议合同授予</w:t>
      </w:r>
      <w:r/>
    </w:p>
    <w:p>
      <w:pPr>
        <w:pStyle w:val="920"/>
        <w:ind w:firstLine="480"/>
        <w:keepLines w:val="0"/>
        <w:keepNext w:val="0"/>
        <w:pageBreakBefore w:val="0"/>
        <w:spacing w:line="470" w:lineRule="exact"/>
        <w:widowControl w:val="off"/>
        <w:rPr>
          <w:rFonts w:hint="eastAsia" w:cs="宋体"/>
          <w:b w:val="0"/>
          <w:bCs w:val="0"/>
          <w:sz w:val="24"/>
          <w:szCs w:val="24"/>
          <w:lang w:val="en-US" w:eastAsia="zh-CN"/>
        </w:rPr>
      </w:pPr>
      <w:r>
        <w:rPr>
          <w:rFonts w:hint="eastAsia" w:cs="宋体"/>
          <w:b w:val="0"/>
          <w:bCs w:val="0"/>
          <w:sz w:val="24"/>
          <w:szCs w:val="24"/>
          <w:lang w:val="en-US" w:eastAsia="zh-CN"/>
        </w:rPr>
        <w:t xml:space="preserve">1、第一阶段入围供应商确定后由采购人或者服务对象依据入围产品价格、质量以及服务便利性、用户评价等因素，从第一阶段入围供应商中直接选定。各入围供应商应严格按照不高于入围时承诺的工时单价、材料进销差价率进行报价，同时应保证所采用的零配件的进货渠道符合征集文件要求。</w:t>
      </w:r>
      <w:r/>
    </w:p>
    <w:p>
      <w:pPr>
        <w:pStyle w:val="920"/>
        <w:ind w:firstLine="480"/>
        <w:keepLines w:val="0"/>
        <w:keepNext w:val="0"/>
        <w:pageBreakBefore w:val="0"/>
        <w:spacing w:line="470" w:lineRule="exact"/>
        <w:widowControl w:val="off"/>
        <w:rPr>
          <w:rFonts w:hint="eastAsia" w:cs="宋体"/>
          <w:b w:val="0"/>
          <w:bCs w:val="0"/>
          <w:sz w:val="24"/>
          <w:szCs w:val="24"/>
          <w:lang w:val="en-US" w:eastAsia="zh-CN"/>
        </w:rPr>
      </w:pPr>
      <w:r>
        <w:rPr>
          <w:rFonts w:hint="eastAsia" w:cs="宋体"/>
          <w:b w:val="0"/>
          <w:bCs w:val="0"/>
          <w:sz w:val="24"/>
          <w:szCs w:val="24"/>
          <w:lang w:val="en-US" w:eastAsia="zh-CN"/>
        </w:rPr>
        <w:t xml:space="preserve">2、采购人原则上不得采购框架协议采购范围以外的服务。</w:t>
      </w:r>
      <w:r/>
    </w:p>
    <w:p>
      <w:pPr>
        <w:ind w:firstLine="482"/>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15" w:name="_Toc14441"/>
      <w:r>
        <w:rPr>
          <w:rFonts w:hint="eastAsia" w:ascii="宋体" w:hAnsi="宋体" w:cs="Times New Roman"/>
          <w:b/>
          <w:bCs/>
          <w:caps/>
          <w:sz w:val="24"/>
          <w:szCs w:val="21"/>
          <w:lang w:val="en-US" w:eastAsia="zh-CN" w:bidi="ar-SA"/>
        </w:rPr>
        <w:t xml:space="preserve">九</w:t>
      </w:r>
      <w:r>
        <w:rPr>
          <w:rFonts w:hint="eastAsia" w:ascii="宋体" w:hAnsi="宋体" w:eastAsia="宋体" w:cs="Times New Roman"/>
          <w:b/>
          <w:bCs/>
          <w:caps/>
          <w:sz w:val="24"/>
          <w:szCs w:val="21"/>
          <w:lang w:val="en-US" w:eastAsia="zh-CN" w:bidi="ar-SA"/>
        </w:rPr>
        <w:t xml:space="preserve">、履约管理要求</w:t>
      </w:r>
      <w:bookmarkEnd w:id="215"/>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16" w:name="_Toc30826"/>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管理形式：以公务用车主管部门牵头管理为主，将会同行业主管部门、政采监管部门定期或不定期地对</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lang w:val="en-US" w:eastAsia="zh-CN"/>
        </w:rPr>
        <w:t xml:space="preserve">的服务质量、履约情况进行监督检查。</w:t>
      </w:r>
      <w:bookmarkEnd w:id="216"/>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17" w:name="_Toc12038"/>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管理标准：在监管检查中，如发现以下情形，视为不合格行为。相关部门在核实情况后将对相关责任供应商予以处理：</w:t>
      </w:r>
      <w:bookmarkEnd w:id="217"/>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18" w:name="_Toc22729"/>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材料进价台账监管：供应商应按</w:t>
      </w:r>
      <w:r>
        <w:rPr>
          <w:rFonts w:hint="eastAsia" w:ascii="宋体" w:hAnsi="宋体" w:cs="宋体"/>
          <w:b w:val="0"/>
          <w:bCs w:val="0"/>
          <w:sz w:val="24"/>
          <w:szCs w:val="24"/>
          <w:lang w:val="en-US" w:eastAsia="zh-CN"/>
        </w:rPr>
        <w:t xml:space="preserve">征集人</w:t>
      </w:r>
      <w:r>
        <w:rPr>
          <w:rFonts w:hint="eastAsia" w:ascii="宋体" w:hAnsi="宋体" w:eastAsia="宋体" w:cs="宋体"/>
          <w:b w:val="0"/>
          <w:bCs w:val="0"/>
          <w:sz w:val="24"/>
          <w:szCs w:val="24"/>
          <w:lang w:val="en-US" w:eastAsia="zh-CN"/>
        </w:rPr>
        <w:t xml:space="preserve">要求的频率报送材料进价台账，接受</w:t>
      </w:r>
      <w:r>
        <w:rPr>
          <w:rFonts w:hint="eastAsia" w:ascii="宋体" w:hAnsi="宋体" w:cs="宋体"/>
          <w:b w:val="0"/>
          <w:bCs w:val="0"/>
          <w:sz w:val="24"/>
          <w:szCs w:val="24"/>
          <w:lang w:val="en-US" w:eastAsia="zh-CN"/>
        </w:rPr>
        <w:t xml:space="preserve">征集人</w:t>
      </w:r>
      <w:r>
        <w:rPr>
          <w:rFonts w:hint="eastAsia" w:ascii="宋体" w:hAnsi="宋体" w:eastAsia="宋体" w:cs="宋体"/>
          <w:b w:val="0"/>
          <w:bCs w:val="0"/>
          <w:sz w:val="24"/>
          <w:szCs w:val="24"/>
          <w:lang w:val="en-US" w:eastAsia="zh-CN"/>
        </w:rPr>
        <w:t xml:space="preserve">监管，若经征集人抽查发现供应商的材料进价台账不真实、弄虚作假，存在价格虚报、套利行为的；</w:t>
      </w:r>
      <w:bookmarkEnd w:id="218"/>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19" w:name="_Toc7788"/>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供应商提供的服务不符合国家有关规定、响应承诺和框架协议规定；</w:t>
      </w:r>
      <w:bookmarkEnd w:id="219"/>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20" w:name="_Toc16818"/>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无正当理由拒单或不按照承诺提供服务；</w:t>
      </w:r>
      <w:bookmarkEnd w:id="220"/>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21" w:name="_Toc1149"/>
      <w:r>
        <w:rPr>
          <w:rFonts w:hint="eastAsia" w:ascii="宋体" w:hAnsi="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具体项目成交价高于其入围价格或服务承诺；</w:t>
      </w:r>
      <w:bookmarkEnd w:id="221"/>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22" w:name="_Toc23218"/>
      <w:r>
        <w:rPr>
          <w:rFonts w:hint="eastAsia" w:ascii="宋体"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使用不正当竞争手段，影响采购单位正常采购活动；</w:t>
      </w:r>
      <w:bookmarkEnd w:id="222"/>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23" w:name="_Toc20230"/>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t xml:space="preserve">满意度调查中</w:t>
      </w:r>
      <w:r>
        <w:rPr>
          <w:rFonts w:hint="eastAsia" w:ascii="宋体" w:hAnsi="宋体" w:cs="宋体"/>
          <w:b w:val="0"/>
          <w:bCs w:val="0"/>
          <w:sz w:val="24"/>
          <w:szCs w:val="24"/>
          <w:lang w:val="en-US" w:eastAsia="zh-CN"/>
        </w:rPr>
        <w:t xml:space="preserve">送</w:t>
      </w:r>
      <w:r>
        <w:rPr>
          <w:rFonts w:hint="eastAsia" w:ascii="宋体" w:hAnsi="宋体" w:eastAsia="宋体" w:cs="宋体"/>
          <w:b w:val="0"/>
          <w:bCs w:val="0"/>
          <w:sz w:val="24"/>
          <w:szCs w:val="24"/>
          <w:lang w:val="en-US" w:eastAsia="zh-CN"/>
        </w:rPr>
        <w:t xml:space="preserve">修方反馈不满意，经核实确系供应商责任；</w:t>
      </w:r>
      <w:bookmarkEnd w:id="223"/>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24" w:name="_Toc21797"/>
      <w:r>
        <w:rPr>
          <w:rFonts w:hint="eastAsia" w:ascii="宋体" w:hAnsi="宋体" w:cs="宋体"/>
          <w:b w:val="0"/>
          <w:bCs w:val="0"/>
          <w:sz w:val="24"/>
          <w:szCs w:val="24"/>
          <w:lang w:val="en-US" w:eastAsia="zh-CN"/>
        </w:rPr>
        <w:t xml:space="preserve">（7）</w:t>
      </w:r>
      <w:r>
        <w:rPr>
          <w:rFonts w:hint="eastAsia" w:ascii="宋体" w:hAnsi="宋体" w:eastAsia="宋体" w:cs="宋体"/>
          <w:b w:val="0"/>
          <w:bCs w:val="0"/>
          <w:sz w:val="24"/>
          <w:szCs w:val="24"/>
          <w:lang w:val="en-US" w:eastAsia="zh-CN"/>
        </w:rPr>
        <w:t xml:space="preserve">其他违法违规行为。</w:t>
      </w:r>
      <w:bookmarkEnd w:id="224"/>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25" w:name="_Toc420"/>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管理措施：对履约监管中发现的不合格行为，按以下措施处理：</w:t>
      </w:r>
      <w:bookmarkEnd w:id="225"/>
      <w:r/>
      <w:r/>
    </w:p>
    <w:p>
      <w:pPr>
        <w:ind w:firstLine="480"/>
        <w:jc w:val="both"/>
        <w:keepLines w:val="0"/>
        <w:keepNext w:val="0"/>
        <w:pageBreakBefore w:val="0"/>
        <w:spacing w:line="470" w:lineRule="exact"/>
        <w:widowControl w:val="off"/>
        <w:rPr>
          <w:rFonts w:hint="eastAsia" w:ascii="宋体" w:hAnsi="宋体" w:eastAsia="宋体" w:cs="宋体"/>
          <w:b w:val="0"/>
          <w:bCs w:val="0"/>
          <w:color w:val="auto"/>
          <w:sz w:val="24"/>
          <w:szCs w:val="24"/>
          <w:lang w:val="en-US" w:eastAsia="zh-CN"/>
        </w:rPr>
        <w:outlineLvl w:val="0"/>
      </w:pPr>
      <w:r/>
      <w:bookmarkStart w:id="226" w:name="_Toc18179"/>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整改：入围供应商在框架协议服务期间存在不合格行为的，</w:t>
      </w:r>
      <w:r>
        <w:rPr>
          <w:rFonts w:hint="eastAsia" w:cs="宋体"/>
          <w:b w:val="0"/>
          <w:bCs w:val="0"/>
          <w:color w:val="auto"/>
          <w:sz w:val="24"/>
          <w:szCs w:val="24"/>
          <w:lang w:val="en-US" w:eastAsia="zh-CN"/>
        </w:rPr>
        <w:t xml:space="preserve">由相关部门责令其限期进行整改</w:t>
      </w:r>
      <w:r>
        <w:rPr>
          <w:rFonts w:hint="eastAsia" w:ascii="宋体" w:hAnsi="宋体" w:eastAsia="宋体" w:cs="宋体"/>
          <w:b w:val="0"/>
          <w:bCs w:val="0"/>
          <w:color w:val="auto"/>
          <w:sz w:val="24"/>
          <w:szCs w:val="24"/>
          <w:lang w:val="en-US" w:eastAsia="zh-CN"/>
        </w:rPr>
        <w:t xml:space="preserve">，限定时间完成整改。被</w:t>
      </w:r>
      <w:r>
        <w:rPr>
          <w:rFonts w:hint="eastAsia" w:ascii="宋体" w:hAnsi="宋体" w:cs="宋体"/>
          <w:b w:val="0"/>
          <w:bCs w:val="0"/>
          <w:color w:val="auto"/>
          <w:sz w:val="24"/>
          <w:szCs w:val="24"/>
          <w:lang w:val="en-US" w:eastAsia="zh-CN"/>
        </w:rPr>
        <w:t xml:space="preserve">要求整改的</w:t>
      </w:r>
      <w:r>
        <w:rPr>
          <w:rFonts w:hint="eastAsia" w:ascii="宋体" w:hAnsi="宋体" w:eastAsia="宋体" w:cs="宋体"/>
          <w:b w:val="0"/>
          <w:bCs w:val="0"/>
          <w:color w:val="auto"/>
          <w:sz w:val="24"/>
          <w:szCs w:val="24"/>
          <w:lang w:val="en-US" w:eastAsia="zh-CN"/>
        </w:rPr>
        <w:t xml:space="preserve">供应商，视作差评，记录在案；</w:t>
      </w:r>
      <w:bookmarkEnd w:id="226"/>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227" w:name="_Toc16379"/>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暂停交易资格：对拒不接受相关部门约谈，或者规定时间未按</w:t>
      </w:r>
      <w:r>
        <w:rPr>
          <w:rFonts w:hint="eastAsia" w:ascii="宋体" w:hAnsi="宋体" w:cs="宋体"/>
          <w:b w:val="0"/>
          <w:bCs w:val="0"/>
          <w:sz w:val="24"/>
          <w:szCs w:val="24"/>
          <w:lang w:val="en-US" w:eastAsia="zh-CN"/>
        </w:rPr>
        <w:t xml:space="preserve">要求</w:t>
      </w:r>
      <w:r>
        <w:rPr>
          <w:rFonts w:hint="eastAsia" w:ascii="宋体" w:hAnsi="宋体" w:eastAsia="宋体" w:cs="宋体"/>
          <w:b w:val="0"/>
          <w:bCs w:val="0"/>
          <w:sz w:val="24"/>
          <w:szCs w:val="24"/>
          <w:lang w:val="en-US" w:eastAsia="zh-CN"/>
        </w:rPr>
        <w:t xml:space="preserve">完成整改的供应商，暂停其框架协议交易资格三个月；</w:t>
      </w:r>
      <w:bookmarkEnd w:id="227"/>
      <w:r/>
      <w:r/>
    </w:p>
    <w:p>
      <w:pPr>
        <w:pStyle w:val="920"/>
        <w:ind w:firstLine="480"/>
        <w:keepLines w:val="0"/>
        <w:keepNext w:val="0"/>
        <w:pageBreakBefore w:val="0"/>
        <w:spacing w:line="470" w:lineRule="exact"/>
        <w:widowControl w:val="off"/>
        <w:rPr>
          <w:rFonts w:hint="eastAsia" w:cs="宋体"/>
          <w:b w:val="0"/>
          <w:bCs w:val="0"/>
          <w:sz w:val="24"/>
          <w:szCs w:val="24"/>
          <w:lang w:val="en-US" w:eastAsia="zh-CN"/>
        </w:rP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pStyle w:val="920"/>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十、</w:t>
      </w:r>
      <w:r>
        <w:rPr>
          <w:rFonts w:hint="default" w:cs="Times New Roman"/>
          <w:b/>
          <w:bCs/>
          <w:color w:val="auto"/>
          <w:sz w:val="24"/>
          <w:szCs w:val="22"/>
          <w:highlight w:val="none"/>
          <w:lang w:val="en-US" w:eastAsia="zh-CN" w:bidi="ar-SA"/>
        </w:rPr>
        <w:t xml:space="preserve">框架协议的期限：</w:t>
      </w:r>
      <w:r>
        <w:rPr>
          <w:rFonts w:hint="default" w:cs="Times New Roman"/>
          <w:color w:val="auto"/>
          <w:sz w:val="24"/>
          <w:szCs w:val="22"/>
          <w:highlight w:val="none"/>
          <w:lang w:val="en-US" w:eastAsia="zh-CN" w:bidi="ar-SA"/>
        </w:rPr>
        <w:t xml:space="preserve">2026年1月1日起至2027年12月31日</w:t>
      </w:r>
      <w:r/>
    </w:p>
    <w:p>
      <w:pPr>
        <w:ind w:firstLine="482"/>
        <w:keepLines w:val="0"/>
        <w:keepNext w:val="0"/>
        <w:pageBreakBefore w:val="0"/>
        <w:spacing w:line="470" w:lineRule="exact"/>
        <w:rPr>
          <w:rFonts w:hint="eastAsia" w:ascii="宋体" w:hAnsi="宋体" w:eastAsia="宋体" w:cs="宋体"/>
          <w:sz w:val="24"/>
          <w:szCs w:val="24"/>
          <w:highlight w:val="none"/>
        </w:rPr>
      </w:pPr>
      <w:r>
        <w:rPr>
          <w:rFonts w:hint="eastAsia" w:ascii="宋体" w:hAnsi="宋体" w:cs="宋体"/>
          <w:b/>
          <w:bCs/>
          <w:sz w:val="24"/>
          <w:szCs w:val="24"/>
          <w:highlight w:val="none"/>
          <w:lang w:val="en-US" w:eastAsia="zh-CN"/>
        </w:rPr>
        <w:t xml:space="preserve">十一、</w:t>
      </w:r>
      <w:r>
        <w:rPr>
          <w:rFonts w:hint="eastAsia" w:ascii="宋体" w:hAnsi="宋体" w:eastAsia="宋体" w:cs="宋体"/>
          <w:b/>
          <w:bCs/>
          <w:sz w:val="24"/>
          <w:szCs w:val="24"/>
          <w:highlight w:val="none"/>
        </w:rPr>
        <w:t xml:space="preserve">采购标的对应的中小企业划分标准所属行业一览表</w:t>
      </w:r>
      <w:r/>
    </w:p>
    <w:tbl>
      <w:tblPr>
        <w:tblStyle w:val="737"/>
        <w:tblW w:w="896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9"/>
        <w:gridCol w:w="4342"/>
        <w:gridCol w:w="3675"/>
      </w:tblGrid>
      <w:tr>
        <w:trPr>
          <w:jc w:val="center"/>
          <w:tblCellSpacing w:w="0" w:type="dxa"/>
          <w:trHeight w:val="362"/>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760"/>
              <w:jc w:val="center"/>
              <w:keepLines w:val="0"/>
              <w:keepNext w:val="0"/>
              <w:pageBreakBefore w:val="0"/>
              <w:spacing w:before="0" w:beforeAutospacing="0" w:after="0" w:afterAutospacing="0" w:line="470" w:lineRule="exact"/>
              <w:rPr>
                <w:rFonts w:hint="eastAsia" w:ascii="宋体" w:hAnsi="宋体" w:eastAsia="宋体" w:cs="宋体"/>
                <w:sz w:val="24"/>
                <w:szCs w:val="24"/>
                <w:highlight w:val="none"/>
              </w:rPr>
            </w:pPr>
            <w:r/>
            <w:bookmarkStart w:id="228" w:name="_Toc128039583"/>
            <w:r>
              <w:rPr>
                <w:rFonts w:hint="eastAsia" w:ascii="宋体" w:hAnsi="宋体" w:eastAsia="宋体"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42" w:type="dxa"/>
            <w:vAlign w:val="center"/>
            <w:textDirection w:val="lrTb"/>
            <w:noWrap w:val="false"/>
          </w:tcPr>
          <w:p>
            <w:pPr>
              <w:pStyle w:val="760"/>
              <w:jc w:val="center"/>
              <w:keepLines w:val="0"/>
              <w:keepNext w:val="0"/>
              <w:pageBreakBefore w:val="0"/>
              <w:spacing w:before="0" w:beforeAutospacing="0" w:after="0" w:afterAutospacing="0" w:line="4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60"/>
              <w:jc w:val="center"/>
              <w:keepLines w:val="0"/>
              <w:keepNext w:val="0"/>
              <w:pageBreakBefore w:val="0"/>
              <w:spacing w:before="0" w:beforeAutospacing="0" w:after="0" w:afterAutospacing="0" w:line="4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对应中小企业划分标准所属行业</w:t>
            </w:r>
            <w:r/>
          </w:p>
        </w:tc>
      </w:tr>
      <w:tr>
        <w:trPr>
          <w:jc w:val="center"/>
          <w:tblCellSpacing w:w="0" w:type="dxa"/>
          <w:trHeight w:val="1085"/>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760"/>
              <w:jc w:val="center"/>
              <w:keepLines w:val="0"/>
              <w:keepNext w:val="0"/>
              <w:pageBreakBefore w:val="0"/>
              <w:spacing w:before="0" w:beforeAutospacing="0" w:after="0" w:afterAutospacing="0" w:line="4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2" w:type="dxa"/>
            <w:vAlign w:val="center"/>
            <w:textDirection w:val="lrTb"/>
            <w:noWrap w:val="false"/>
          </w:tcPr>
          <w:p>
            <w:pPr>
              <w:pStyle w:val="760"/>
              <w:jc w:val="center"/>
              <w:keepLines w:val="0"/>
              <w:keepNext w:val="0"/>
              <w:pageBreakBefore w:val="0"/>
              <w:spacing w:before="0" w:beforeAutospacing="0" w:after="0" w:afterAutospacing="0" w:line="4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2026-2027年度东台市党政机关、事业单位和团体组织公务用车维修和保养服务框架协议采购项目</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760"/>
              <w:jc w:val="center"/>
              <w:keepLines w:val="0"/>
              <w:keepNext w:val="0"/>
              <w:pageBreakBefore w:val="0"/>
              <w:spacing w:before="0" w:beforeAutospacing="0" w:after="0" w:afterAutospacing="0" w:line="4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交通运输业</w:t>
            </w:r>
            <w:r/>
          </w:p>
        </w:tc>
      </w:tr>
    </w:tbl>
    <w:p>
      <w:pPr>
        <w:ind w:firstLine="480"/>
        <w:keepLines w:val="0"/>
        <w:keepNext w:val="0"/>
        <w:pageBreakBefore w:val="0"/>
        <w:spacing w:line="470" w:lineRule="exact"/>
        <w:rPr>
          <w:rFonts w:hint="eastAsia" w:ascii="宋体" w:hAnsi="宋体" w:eastAsia="宋体" w:cs="宋体"/>
          <w:sz w:val="24"/>
          <w:szCs w:val="24"/>
          <w:highlight w:val="none"/>
          <w:lang w:eastAsia="zh-CN"/>
        </w:rPr>
      </w:pPr>
      <w:r/>
      <w:bookmarkStart w:id="229" w:name="_Toc183693306"/>
      <w:r>
        <w:rPr>
          <w:rFonts w:hint="eastAsia" w:ascii="宋体" w:hAnsi="宋体" w:eastAsia="宋体" w:cs="宋体"/>
          <w:sz w:val="24"/>
          <w:szCs w:val="24"/>
          <w:highlight w:val="none"/>
        </w:rPr>
        <w:t xml:space="preserve">交通运输业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center"/>
        <w:keepLines w:val="0"/>
        <w:keepNext w:val="0"/>
        <w:pageBreakBefore w:val="0"/>
        <w:spacing w:after="120" w:line="480" w:lineRule="exac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bookmarkStart w:id="230" w:name="_Toc15561"/>
      <w:r>
        <w:rPr>
          <w:rFonts w:hint="eastAsia" w:ascii="宋体" w:hAnsi="宋体" w:eastAsia="宋体" w:cs="宋体"/>
          <w:b/>
          <w:bCs/>
          <w:color w:val="000000"/>
          <w:sz w:val="32"/>
          <w:szCs w:val="32"/>
          <w:highlight w:val="none"/>
        </w:rPr>
        <w:t xml:space="preserve">第五章  确定入围及成交供应商</w:t>
      </w:r>
      <w:bookmarkEnd w:id="228"/>
      <w:r/>
      <w:bookmarkEnd w:id="229"/>
      <w:r/>
      <w:bookmarkEnd w:id="230"/>
      <w:r/>
      <w:r/>
    </w:p>
    <w:p>
      <w:pPr>
        <w:pStyle w:val="921"/>
        <w:ind w:firstLine="422"/>
        <w:keepLines w:val="0"/>
        <w:keepNext w:val="0"/>
        <w:pageBreakBefore w:val="0"/>
        <w:spacing w:before="0" w:after="0" w:line="480" w:lineRule="exact"/>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一、确定第一阶段入围供应商的评审方法</w:t>
      </w:r>
      <w:r/>
    </w:p>
    <w:p>
      <w:pPr>
        <w:ind w:firstLine="42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1、确定第一阶段入围供应商的评审方法为价格优先法。</w:t>
      </w:r>
      <w:r>
        <w:rPr>
          <w:rFonts w:hint="eastAsia" w:ascii="宋体" w:hAnsi="宋体" w:eastAsia="宋体" w:cs="宋体"/>
          <w:color w:val="000000"/>
          <w:sz w:val="24"/>
          <w:szCs w:val="24"/>
          <w:highlight w:val="none"/>
        </w:rPr>
        <w:t xml:space="preserve">价格优先法是指对满足采购需求且响应报价不超过最高限制单价的产品，按照响应报价从低到高排序，根据征集文件规定的淘汰率或者入围供应商数量上限，确定入围供应商的评审方法。</w:t>
      </w:r>
      <w:r/>
    </w:p>
    <w:p>
      <w:pPr>
        <w:ind w:firstLine="420"/>
        <w:keepLines w:val="0"/>
        <w:keepNext w:val="0"/>
        <w:pageBreakBefore w:val="0"/>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入围供应商的淘汰比例：</w:t>
      </w:r>
      <w:r>
        <w:rPr>
          <w:rFonts w:hint="eastAsia" w:ascii="宋体" w:hAnsi="宋体" w:eastAsia="宋体" w:cs="宋体"/>
          <w:sz w:val="24"/>
          <w:szCs w:val="24"/>
          <w:highlight w:val="none"/>
          <w:lang w:val="en-US" w:eastAsia="zh-CN" w:bidi="ar-SA"/>
        </w:rPr>
        <w:t xml:space="preserve">提交响应文件且通过资格条件评审、符合性审查要求以及其他实质性审查的供应商淘汰率按20%计算，且至少淘汰一家供应商（提交响应文件且通过资格条件评审、符合性审查要求以及其他实质性审查的供应商少于2家时，采购活动终止）。淘汰供应商家数的计算规则为：通过资格条件评审、符合性审查要求以及其他实质性审查的供应商家数×淘汰率（20%）=X，X=A+B，A为整数部分，B为小数部分。当B为零时，淘汰家数为A；当B不为零时，淘汰家数为A+1。</w:t>
      </w:r>
      <w:r/>
    </w:p>
    <w:p>
      <w:pPr>
        <w:pStyle w:val="921"/>
        <w:keepLines w:val="0"/>
        <w:keepNext w:val="0"/>
        <w:pageBreakBefore w:val="0"/>
        <w:spacing w:before="0" w:after="0" w:line="480" w:lineRule="exact"/>
        <w:widowControl w:val="off"/>
        <w:rPr>
          <w:rFonts w:hint="default" w:ascii="宋体" w:hAnsi="宋体" w:eastAsia="宋体" w:cs="宋体"/>
          <w:sz w:val="24"/>
          <w:szCs w:val="24"/>
          <w:highlight w:val="none"/>
          <w:lang w:val="en-US" w:eastAsia="zh-CN" w:bidi="ar"/>
        </w:rPr>
      </w:pPr>
      <w:r>
        <w:rPr>
          <w:rFonts w:hint="eastAsia" w:ascii="宋体" w:hAnsi="宋体" w:eastAsia="宋体" w:cs="宋体"/>
          <w:b/>
          <w:bCs/>
          <w:sz w:val="24"/>
          <w:szCs w:val="24"/>
        </w:rPr>
        <w:t xml:space="preserve">3、</w:t>
      </w:r>
      <w:r>
        <w:rPr>
          <w:rFonts w:hint="eastAsia" w:ascii="宋体" w:hAnsi="宋体" w:cs="宋体"/>
          <w:b/>
          <w:bCs/>
          <w:sz w:val="24"/>
          <w:szCs w:val="24"/>
          <w:highlight w:val="none"/>
          <w:lang w:val="en-US" w:eastAsia="zh-CN" w:bidi="ar"/>
        </w:rPr>
        <w:t xml:space="preserve">报价规则</w:t>
      </w:r>
      <w:r/>
    </w:p>
    <w:p>
      <w:pPr>
        <w:pStyle w:val="921"/>
        <w:keepLines w:val="0"/>
        <w:keepNext w:val="0"/>
        <w:pageBreakBefore w:val="0"/>
        <w:spacing w:before="0" w:after="0" w:line="480" w:lineRule="exact"/>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供应商报价的工时单价、材料进销差价率为必报项。所报工时单价和材料进销差价率应按市场价格及自身实际情况客观报价，报价价格均应大于零，如只报工时单价一项或只报材料进销差价率一项的视为该项报价为零报价，为未响应征集文件要求，按无效响应文件处理。</w:t>
      </w:r>
      <w:r>
        <w:rPr>
          <w:rFonts w:hint="eastAsia" w:ascii="宋体" w:hAnsi="宋体" w:cs="宋体"/>
          <w:b w:val="0"/>
          <w:szCs w:val="24"/>
          <w:highlight w:val="none"/>
          <w:lang w:bidi="ar"/>
        </w:rPr>
        <w:t xml:space="preserve">供应商所报价格即为第一阶段入围后的协议价格也是征集人（或服务单位）确定第二阶段成交供应商的最高限价。</w:t>
      </w:r>
      <w:r/>
    </w:p>
    <w:p>
      <w:pPr>
        <w:pStyle w:val="921"/>
        <w:keepLines w:val="0"/>
        <w:keepNext w:val="0"/>
        <w:pageBreakBefore w:val="0"/>
        <w:spacing w:before="0" w:after="0" w:line="480" w:lineRule="exact"/>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为方便系统唱标与评审价计算，供应商应根据计算公式算出综合计算得数。综合计算得数即评审价Y计算公式为：Y=a×30%+b×70%。评审价中工时单价计算权重为</w:t>
      </w:r>
      <w:r>
        <w:rPr>
          <w:rFonts w:hint="eastAsia" w:ascii="宋体" w:hAnsi="宋体" w:eastAsia="宋体" w:cs="宋体"/>
          <w:b/>
          <w:bCs/>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，材料进销差价率计算权重为</w:t>
      </w:r>
      <w:r>
        <w:rPr>
          <w:rFonts w:hint="eastAsia" w:ascii="宋体" w:hAnsi="宋体" w:eastAsia="宋体" w:cs="宋体"/>
          <w:b/>
          <w:bCs/>
          <w:sz w:val="24"/>
          <w:szCs w:val="24"/>
          <w:highlight w:val="none"/>
          <w:lang w:val="en-US" w:eastAsia="zh-CN" w:bidi="ar"/>
        </w:rPr>
        <w:t xml:space="preserve">70%</w:t>
      </w:r>
      <w:r>
        <w:rPr>
          <w:rFonts w:hint="eastAsia" w:ascii="宋体" w:hAnsi="宋体" w:eastAsia="宋体" w:cs="宋体"/>
          <w:sz w:val="24"/>
          <w:szCs w:val="24"/>
          <w:highlight w:val="none"/>
          <w:lang w:val="en-US" w:eastAsia="zh-CN" w:bidi="ar"/>
        </w:rPr>
        <w:t xml:space="preserve">。综合计算后，得数（价格）低的供应商，排序在前。</w:t>
      </w:r>
      <w:r/>
    </w:p>
    <w:p>
      <w:pPr>
        <w:pStyle w:val="921"/>
        <w:keepLines w:val="0"/>
        <w:keepNext w:val="0"/>
        <w:pageBreakBefore w:val="0"/>
        <w:spacing w:before="0" w:after="0" w:line="48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例：如供应商所报工时单价为7元/工时，除以工时单价最高限价10元/工时的数值为70%，则a为70；如供应商所报材料进销差价率为20%，则b为20。该评审价即Y=70×30%+20×70%=35，“苏采云”系统内填报报价时，填写“35”</w:t>
      </w:r>
      <w:r/>
    </w:p>
    <w:p>
      <w:pPr>
        <w:pStyle w:val="921"/>
        <w:ind w:left="0" w:firstLine="480"/>
        <w:keepLines w:val="0"/>
        <w:keepNext w:val="0"/>
        <w:pageBreakBefore w:val="0"/>
        <w:spacing w:before="0" w:after="0" w:line="480" w:lineRule="exact"/>
        <w:widowControl w:val="off"/>
        <w:rPr>
          <w:rFonts w:hint="eastAsia" w:ascii="宋体" w:hAnsi="宋体" w:eastAsia="宋体" w:cs="宋体"/>
          <w:sz w:val="24"/>
          <w:szCs w:val="24"/>
        </w:rPr>
      </w:pP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供应商的报价最多精确到小数点后两位，评审价精确到小数点后两位（四舍五入）。</w:t>
      </w:r>
      <w:r/>
    </w:p>
    <w:p>
      <w:pPr>
        <w:pStyle w:val="921"/>
        <w:ind w:left="0" w:firstLine="480"/>
        <w:keepLines w:val="0"/>
        <w:keepNext w:val="0"/>
        <w:pageBreakBefore w:val="0"/>
        <w:spacing w:before="0" w:after="0" w:line="480" w:lineRule="exact"/>
        <w:widowControl w:val="off"/>
        <w:rPr>
          <w:rFonts w:hint="default" w:ascii="宋体" w:hAnsi="宋体" w:eastAsia="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评审过程中若出现供应商</w:t>
      </w:r>
      <w:r>
        <w:rPr>
          <w:rFonts w:hint="eastAsia" w:ascii="宋体" w:hAnsi="宋体" w:cs="宋体"/>
          <w:sz w:val="24"/>
          <w:szCs w:val="24"/>
          <w:lang w:val="en-US" w:eastAsia="zh-CN"/>
        </w:rPr>
        <w:t xml:space="preserve">评审价</w:t>
      </w:r>
      <w:r>
        <w:rPr>
          <w:rFonts w:hint="eastAsia" w:ascii="宋体" w:hAnsi="宋体" w:eastAsia="宋体" w:cs="宋体"/>
          <w:sz w:val="24"/>
          <w:szCs w:val="24"/>
          <w:lang w:eastAsia="zh-CN"/>
        </w:rPr>
        <w:t xml:space="preserve">相同，使淘汰率不足20%时，</w:t>
      </w:r>
      <w:r>
        <w:rPr>
          <w:rFonts w:hint="eastAsia" w:ascii="宋体" w:hAnsi="宋体" w:cs="宋体"/>
          <w:sz w:val="24"/>
          <w:szCs w:val="24"/>
          <w:lang w:val="en-US" w:eastAsia="zh-CN"/>
        </w:rPr>
        <w:t xml:space="preserve">采取以下规则：</w:t>
      </w:r>
      <w:r/>
    </w:p>
    <w:p>
      <w:pPr>
        <w:pStyle w:val="921"/>
        <w:ind w:left="0" w:firstLine="482"/>
        <w:keepLines w:val="0"/>
        <w:keepNext w:val="0"/>
        <w:pageBreakBefore w:val="0"/>
        <w:spacing w:before="0" w:after="0"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综合计算得数相同的供应商推荐入围排序规则：</w:t>
      </w:r>
      <w:r/>
    </w:p>
    <w:p>
      <w:pPr>
        <w:pStyle w:val="921"/>
        <w:ind w:left="0" w:firstLine="480"/>
        <w:keepLines w:val="0"/>
        <w:keepNext w:val="0"/>
        <w:pageBreakBefore w:val="0"/>
        <w:spacing w:before="0" w:after="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①</w:t>
      </w:r>
      <w:r>
        <w:rPr>
          <w:rFonts w:hint="eastAsia" w:ascii="宋体" w:hAnsi="宋体" w:eastAsia="宋体" w:cs="宋体"/>
          <w:color w:val="auto"/>
          <w:sz w:val="24"/>
          <w:szCs w:val="24"/>
        </w:rPr>
        <w:t xml:space="preserve">供应商报价综合计算得数相同的，按供应商资质类别排序，一类优先于二类入围；</w:t>
      </w:r>
      <w:r/>
    </w:p>
    <w:p>
      <w:pPr>
        <w:pStyle w:val="921"/>
        <w:ind w:left="0" w:firstLine="480"/>
        <w:keepLines w:val="0"/>
        <w:keepNext w:val="0"/>
        <w:pageBreakBefore w:val="0"/>
        <w:spacing w:before="0"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auto"/>
          <w:sz w:val="24"/>
          <w:szCs w:val="24"/>
          <w:lang w:eastAsia="zh-CN"/>
        </w:rPr>
        <w:t xml:space="preserve">②供应商综合计算得数相同，资质类别</w:t>
      </w:r>
      <w:r>
        <w:rPr>
          <w:rFonts w:hint="eastAsia" w:ascii="宋体" w:hAnsi="宋体" w:cs="宋体"/>
          <w:color w:val="auto"/>
          <w:sz w:val="24"/>
          <w:szCs w:val="24"/>
          <w:lang w:val="en-US" w:eastAsia="zh-CN"/>
        </w:rPr>
        <w:t xml:space="preserve">也</w:t>
      </w:r>
      <w:r>
        <w:rPr>
          <w:rFonts w:hint="eastAsia" w:ascii="宋体" w:hAnsi="宋体" w:eastAsia="宋体" w:cs="宋体"/>
          <w:color w:val="auto"/>
          <w:sz w:val="24"/>
          <w:szCs w:val="24"/>
          <w:lang w:eastAsia="zh-CN"/>
        </w:rPr>
        <w:t xml:space="preserve">相同的由评审小组通过现场抽签确定供应商排名顺序。</w:t>
      </w:r>
      <w:r/>
    </w:p>
    <w:p>
      <w:pPr>
        <w:ind w:firstLine="422"/>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1、小微型企业价格扣除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（1）本项目不专门面向中小企业采购，对符合规定的小型和微型企业报价给予20%的扣除价格，用扣除后的价格参与评审。</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（2）供应商需按照采购文件的要求提供相应的《中小企业声明函》。</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（1）本项目对残疾人福利性单位视同小型、微型企业，给予20%的价格扣除。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3、监狱和戒毒企业价格扣除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（1）本项目对监狱和戒毒企业（简称监狱企业）视同小型、微型企业，给予20%的价格扣除。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4、残疾人福利单位、监狱企业属于小型、微型企业的，不重复享受政策。</w:t>
      </w:r>
      <w:r/>
    </w:p>
    <w:p>
      <w:pPr>
        <w:ind w:firstLine="480"/>
        <w:keepLines w:val="0"/>
        <w:keepNext w:val="0"/>
        <w:pageBreakBefore w:val="0"/>
        <w:spacing w:line="480" w:lineRule="exact"/>
        <w:widowControl w:val="off"/>
        <w:rPr>
          <w:rFonts w:ascii="宋体" w:hAnsi="宋体" w:eastAsia="宋体" w:cs="宋体"/>
          <w:bCs/>
          <w:color w:val="000000"/>
          <w:sz w:val="24"/>
          <w:szCs w:val="20"/>
          <w:highlight w:val="none"/>
        </w:rPr>
      </w:pPr>
      <w:r>
        <w:rPr>
          <w:rFonts w:hint="eastAsia" w:ascii="宋体" w:hAnsi="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rPr>
        <w:t xml:space="preserve">严格执行政府采购关于支持</w:t>
      </w:r>
      <w:r>
        <w:rPr>
          <w:rFonts w:hint="eastAsia" w:ascii="宋体" w:hAnsi="宋体" w:eastAsia="宋体" w:cs="宋体"/>
          <w:bCs/>
          <w:color w:val="000000"/>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keepLines w:val="0"/>
        <w:keepNext w:val="0"/>
        <w:pageBreakBefore w:val="0"/>
        <w:spacing w:line="48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二、确定第二阶段成交供应商的方式</w:t>
      </w:r>
      <w:r/>
    </w:p>
    <w:p>
      <w:pPr>
        <w:pStyle w:val="921"/>
        <w:ind w:firstLine="420"/>
        <w:keepLines w:val="0"/>
        <w:keepNext w:val="0"/>
        <w:pageBreakBefore w:val="0"/>
        <w:spacing w:before="0" w:after="0"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921"/>
        <w:ind w:firstLine="420"/>
        <w:keepLines w:val="0"/>
        <w:keepNext w:val="0"/>
        <w:pageBreakBefore w:val="0"/>
        <w:spacing w:before="0" w:after="0" w:line="480" w:lineRule="exact"/>
        <w:widowControl w:val="off"/>
        <w:rPr>
          <w:rFonts w:hint="eastAsia" w:ascii="宋体" w:hAnsi="宋体" w:eastAsia="宋体" w:cs="宋体"/>
          <w:sz w:val="24"/>
          <w:szCs w:val="24"/>
          <w:highlight w:val="none"/>
        </w:rPr>
      </w:pPr>
      <w:r>
        <w:rPr>
          <w:rFonts w:hint="eastAsia" w:ascii="宋体" w:hAnsi="宋体" w:cs="宋体"/>
          <w:b w:val="0"/>
          <w:bCs w:val="0"/>
          <w:sz w:val="24"/>
          <w:szCs w:val="24"/>
          <w:lang w:val="en-US" w:eastAsia="zh-CN"/>
        </w:rPr>
        <w:t xml:space="preserve">2、采购人在确定成交供应商后，双方应当按照“采购合同文本</w:t>
      </w:r>
      <w:r>
        <w:rPr>
          <w:rFonts w:hint="eastAsia" w:ascii="宋体" w:hAnsi="宋体" w:cs="宋体"/>
          <w:b w:val="0"/>
          <w:bCs w:val="0"/>
          <w:color w:val="auto"/>
          <w:sz w:val="24"/>
          <w:szCs w:val="24"/>
          <w:lang w:val="en-US" w:eastAsia="zh-CN"/>
        </w:rPr>
        <w:t xml:space="preserve">（第二阶段）</w:t>
      </w:r>
      <w:r>
        <w:rPr>
          <w:rFonts w:hint="eastAsia" w:ascii="宋体" w:hAnsi="宋体" w:cs="宋体"/>
          <w:b w:val="0"/>
          <w:bCs w:val="0"/>
          <w:sz w:val="24"/>
          <w:szCs w:val="24"/>
          <w:lang w:val="en-US" w:eastAsia="zh-CN"/>
        </w:rPr>
        <w:t xml:space="preserve">”格式签订采购合同，不得擅自改变框架协议约定的合同实质性条款</w:t>
      </w:r>
      <w:r/>
    </w:p>
    <w:p>
      <w:pPr>
        <w:pStyle w:val="921"/>
        <w:ind w:firstLine="420"/>
        <w:keepLines w:val="0"/>
        <w:keepNext w:val="0"/>
        <w:pageBreakBefore w:val="0"/>
        <w:spacing w:before="0" w:after="0" w:line="480" w:lineRule="exact"/>
        <w:widowControl w:val="off"/>
        <w:rPr>
          <w:rFonts w:hint="eastAsia" w:ascii="宋体" w:hAnsi="宋体" w:cs="宋体"/>
          <w:sz w:val="24"/>
          <w:szCs w:val="24"/>
          <w:highlight w:val="none"/>
          <w:lang w:val="en-US" w:eastAsia="zh-CN"/>
        </w:rPr>
      </w:pPr>
      <w:r/>
      <w:bookmarkStart w:id="231" w:name="_Toc128039584"/>
      <w:r>
        <w:rPr>
          <w:rFonts w:hint="eastAsia" w:ascii="宋体" w:hAnsi="宋体" w:cs="宋体"/>
          <w:b/>
          <w:bCs/>
          <w:sz w:val="24"/>
          <w:szCs w:val="24"/>
          <w:highlight w:val="none"/>
          <w:lang w:val="en-US" w:eastAsia="zh-CN"/>
        </w:rPr>
        <w:t xml:space="preserve">三、入围供应商的清退和补充规则：</w:t>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232" w:name="_Toc1651"/>
      <w:r>
        <w:rPr>
          <w:rFonts w:hint="eastAsia" w:ascii="宋体" w:hAnsi="宋体" w:cs="宋体"/>
          <w:b w:val="0"/>
          <w:bCs w:val="0"/>
          <w:color w:val="auto"/>
          <w:sz w:val="24"/>
          <w:szCs w:val="24"/>
          <w:lang w:val="en-US" w:eastAsia="zh-CN"/>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bookmarkEnd w:id="232"/>
      <w:r/>
      <w:r/>
    </w:p>
    <w:p>
      <w:pPr>
        <w:pStyle w:val="921"/>
        <w:ind w:firstLine="420"/>
        <w:keepLines w:val="0"/>
        <w:keepNext w:val="0"/>
        <w:pageBreakBefore w:val="0"/>
        <w:spacing w:before="0" w:after="0" w:line="480" w:lineRule="exact"/>
        <w:widowControl w:val="off"/>
        <w:rPr>
          <w:rFonts w:hint="eastAsia" w:ascii="宋体" w:hAnsi="宋体" w:eastAsia="宋体" w:cs="宋体"/>
          <w:sz w:val="24"/>
          <w:szCs w:val="24"/>
          <w:highlight w:val="none"/>
          <w:lang w:val="en-US" w:eastAsia="zh-CN"/>
        </w:rPr>
      </w:pPr>
      <w:r>
        <w:rPr>
          <w:rFonts w:hint="eastAsia" w:ascii="宋体" w:hAnsi="宋体" w:cs="宋体"/>
          <w:b w:val="0"/>
          <w:bCs w:val="0"/>
          <w:color w:val="auto"/>
          <w:sz w:val="24"/>
          <w:szCs w:val="24"/>
          <w:lang w:val="en-US" w:eastAsia="zh-CN"/>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jc w:val="left"/>
        <w:keepLines w:val="0"/>
        <w:keepNext w:val="0"/>
        <w:pageBreakBefore w:val="0"/>
        <w:spacing w:line="480" w:lineRule="exact"/>
        <w:widowControl/>
        <w:rPr>
          <w:rFonts w:hint="eastAsia" w:ascii="宋体" w:hAnsi="宋体" w:eastAsia="宋体" w:cs="宋体"/>
          <w:bCs/>
          <w:sz w:val="44"/>
          <w:highlight w:val="none"/>
        </w:rPr>
      </w:pPr>
      <w:r>
        <w:rPr>
          <w:rFonts w:hint="eastAsia" w:ascii="宋体" w:hAnsi="宋体" w:eastAsia="宋体" w:cs="宋体"/>
          <w:bCs/>
          <w:sz w:val="44"/>
          <w:highlight w:val="none"/>
        </w:rPr>
        <w:br w:type="page" w:clear="all"/>
      </w:r>
      <w:bookmarkEnd w:id="231"/>
      <w:r/>
      <w:r/>
    </w:p>
    <w:p>
      <w:pPr>
        <w:pStyle w:val="728"/>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r>
      <w:r/>
    </w:p>
    <w:p>
      <w:pPr>
        <w:pStyle w:val="728"/>
        <w:rPr>
          <w:rFonts w:hint="eastAsia" w:ascii="黑体" w:eastAsia="黑体"/>
          <w:bCs/>
          <w:color w:val="000000" w:themeColor="text1"/>
          <w:sz w:val="44"/>
          <w:highlight w:val="none"/>
          <w14:textFill>
            <w14:solidFill>
              <w14:schemeClr w14:val="tx1"/>
            </w14:solidFill>
          </w14:textFill>
        </w:rPr>
        <w:outlineLvl w:val="0"/>
      </w:pPr>
      <w:r/>
      <w:bookmarkStart w:id="233" w:name="_Toc17320"/>
      <w:r>
        <w:rPr>
          <w:rFonts w:hint="eastAsia" w:ascii="黑体" w:eastAsia="黑体"/>
          <w:bCs/>
          <w:color w:val="000000" w:themeColor="text1"/>
          <w:sz w:val="44"/>
          <w:highlight w:val="none"/>
          <w14:textFill>
            <w14:solidFill>
              <w14:schemeClr w14:val="tx1"/>
            </w14:solidFill>
          </w14:textFill>
        </w:rPr>
        <w:t xml:space="preserve">第六章  响应文件格式</w:t>
      </w:r>
      <w:bookmarkEnd w:id="233"/>
      <w:r>
        <w:rPr>
          <w:rFonts w:hint="eastAsia" w:ascii="黑体" w:eastAsia="黑体"/>
          <w:bCs/>
          <w:color w:val="000000" w:themeColor="text1"/>
          <w:sz w:val="44"/>
          <w:highlight w:val="none"/>
          <w14:textFill>
            <w14:solidFill>
              <w14:schemeClr w14:val="tx1"/>
            </w14:solidFill>
          </w14:textFill>
        </w:rPr>
        <w:t xml:space="preserve"> </w:t>
      </w:r>
      <w:r/>
    </w:p>
    <w:p>
      <w:pPr>
        <w:jc w:val="center"/>
        <w:rPr>
          <w:rFonts w:hint="eastAsia" w:ascii="宋体" w:hAnsi="宋体"/>
          <w:b/>
          <w:color w:val="000000" w:themeColor="text1"/>
          <w:sz w:val="72"/>
          <w:highlight w:val="none"/>
          <w14:textFill>
            <w14:solidFill>
              <w14:schemeClr w14:val="tx1"/>
            </w14:solidFill>
          </w14:textFill>
        </w:rPr>
      </w:pPr>
      <w:r/>
      <w:bookmarkStart w:id="234" w:name="_Hlt26955039"/>
      <w:r/>
      <w:bookmarkEnd w:id="234"/>
      <w:r/>
      <w:bookmarkStart w:id="235" w:name="_Hlt26671244"/>
      <w:r/>
      <w:bookmarkEnd w:id="235"/>
      <w:r/>
      <w:bookmarkStart w:id="236" w:name="_Toc49090576"/>
      <w:r/>
      <w:bookmarkStart w:id="237" w:name="_Toc26554094"/>
      <w:r/>
      <w:bookmarkStart w:id="238" w:name="_Toc120614282"/>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响  应  文  件</w:t>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（加盖CA电子公章）</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bookmarkEnd w:id="236"/>
      <w:r/>
      <w:bookmarkEnd w:id="237"/>
      <w:r/>
      <w:bookmarkEnd w:id="238"/>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响应文件目录</w:t>
      </w:r>
      <w:r/>
    </w:p>
    <w:p>
      <w:pPr>
        <w:jc w:val="center"/>
        <w:keepLines w:val="0"/>
        <w:keepNext w:val="0"/>
        <w:pageBreakBefore w:val="0"/>
        <w:spacing w:line="48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760"/>
        <w:ind w:left="480"/>
        <w:jc w:val="both"/>
        <w:keepLines w:val="0"/>
        <w:keepNext w:val="0"/>
        <w:pageBreakBefore w:val="0"/>
        <w:spacing w:beforeAutospacing="0" w:afterAutospacing="0" w:line="480" w:lineRule="exact"/>
        <w:widowControl w:val="off"/>
        <w:rPr>
          <w:rFonts w:ascii="宋体" w:hAnsi="宋体" w:eastAsia="宋体" w:cs="宋体"/>
          <w:i w:val="0"/>
          <w:iCs/>
          <w:color w:val="000000" w:themeColor="text1"/>
          <w:highlight w:val="none"/>
          <w:u w:val="none"/>
          <w14:textFill>
            <w14:solidFill>
              <w14:schemeClr w14:val="tx1"/>
            </w14:solidFill>
          </w14:textFill>
        </w:rPr>
      </w:pPr>
      <w:r/>
      <w:bookmarkStart w:id="239" w:name="_Hlt26671374"/>
      <w:r/>
      <w:bookmarkEnd w:id="239"/>
      <w:r/>
      <w:bookmarkStart w:id="240" w:name="_Hlt26955066"/>
      <w:r/>
      <w:bookmarkEnd w:id="240"/>
      <w:r/>
      <w:bookmarkStart w:id="241" w:name="_Hlt26609389"/>
      <w:r/>
      <w:bookmarkEnd w:id="241"/>
      <w:r/>
      <w:bookmarkStart w:id="242" w:name="_Toc462564146"/>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480" w:lineRule="exact"/>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w:t>
      </w:r>
      <w:r>
        <w:rPr>
          <w:rFonts w:hint="eastAsia" w:ascii="宋体" w:hAnsi="宋体" w:cs="宋体"/>
          <w:bCs/>
          <w:color w:val="000000"/>
          <w:sz w:val="24"/>
          <w:highlight w:val="none"/>
        </w:rPr>
        <w:t xml:space="preserve">上一年度的财务状况</w:t>
      </w:r>
      <w:r>
        <w:rPr>
          <w:rFonts w:hint="eastAsia" w:ascii="宋体" w:hAnsi="宋体" w:eastAsia="宋体" w:cs="宋体"/>
          <w:i w:val="0"/>
          <w:iCs/>
          <w:color w:val="000000"/>
          <w:sz w:val="24"/>
          <w:szCs w:val="24"/>
          <w:highlight w:val="none"/>
          <w:u w:val="none"/>
          <w:lang w:val="en-US" w:eastAsia="zh-CN" w:bidi="ar-SA"/>
        </w:rPr>
        <w:t xml:space="preserve">报</w:t>
      </w:r>
      <w:r>
        <w:rPr>
          <w:rFonts w:hint="eastAsia" w:ascii="宋体" w:hAnsi="宋体" w:cs="宋体"/>
          <w:i w:val="0"/>
          <w:iCs/>
          <w:color w:val="000000"/>
          <w:sz w:val="24"/>
          <w:szCs w:val="24"/>
          <w:highlight w:val="none"/>
          <w:u w:val="none"/>
          <w:lang w:val="en-US" w:eastAsia="zh-CN" w:bidi="ar-SA"/>
        </w:rPr>
        <w:t xml:space="preserve">表</w:t>
      </w:r>
      <w:r>
        <w:rPr>
          <w:rFonts w:hint="eastAsia" w:ascii="宋体" w:hAnsi="宋体" w:cs="宋体"/>
          <w:bCs/>
          <w:color w:val="000000"/>
          <w:sz w:val="24"/>
          <w:highlight w:val="none"/>
        </w:rPr>
        <w:t xml:space="preserve">（至少提供资产负债表、利润表、现金流量表，投标人成立不满一年无需提供）</w:t>
      </w:r>
      <w:r/>
    </w:p>
    <w:p>
      <w:pPr>
        <w:pStyle w:val="760"/>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760"/>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w:t>
      </w:r>
      <w:r>
        <w:rPr>
          <w:rFonts w:hint="eastAsia" w:ascii="宋体" w:hAnsi="宋体" w:cs="宋体"/>
          <w:i w:val="0"/>
          <w:iCs/>
          <w:color w:val="000000" w:themeColor="text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highlight w:val="none"/>
          <w:u w:val="none"/>
          <w14:textFill>
            <w14:solidFill>
              <w14:schemeClr w14:val="tx1"/>
            </w14:solidFill>
          </w14:textFill>
        </w:rPr>
        <w:t xml:space="preserve">投标人依法享受缓缴、免缴税收、社会保障资金的提供证明材料）</w:t>
      </w:r>
      <w:r/>
    </w:p>
    <w:p>
      <w:pPr>
        <w:pStyle w:val="760"/>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760"/>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单位负责人为同一人或者存在直接控股、管理关系的不同供应商，不得参加同一合同项下的政府采购活动。（自行承诺，格式自理）</w:t>
      </w:r>
      <w:r/>
    </w:p>
    <w:p>
      <w:pPr>
        <w:pStyle w:val="760"/>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cs="宋体"/>
          <w:i w:val="0"/>
          <w:iCs/>
          <w:color w:val="000000" w:themeColor="text1"/>
          <w:highlight w:val="none"/>
          <w:u w:val="none"/>
          <w:lang w:val="en-US" w:eastAsia="zh-CN"/>
          <w14:textFill>
            <w14:solidFill>
              <w14:schemeClr w14:val="tx1"/>
            </w14:solidFill>
          </w14:textFill>
        </w:rPr>
        <w:t xml:space="preserve">七</w:t>
      </w:r>
      <w:r>
        <w:rPr>
          <w:rFonts w:hint="eastAsia" w:ascii="宋体" w:hAnsi="宋体" w:eastAsia="宋体" w:cs="宋体"/>
          <w:i w:val="0"/>
          <w:iCs/>
          <w:color w:val="000000" w:themeColor="text1"/>
          <w:highlight w:val="none"/>
          <w:u w:val="none"/>
          <w14:textFill>
            <w14:solidFill>
              <w14:schemeClr w14:val="tx1"/>
            </w14:solidFill>
          </w14:textFill>
        </w:rPr>
        <w:t xml:space="preserve">、供应商（包括依法取得工商营业执照的个体工商户）具备有效的机动车维修经营备案证明（二类及以上资质），并承诺在服务期限内具备该资质（承诺函格式见附表七）；</w:t>
      </w:r>
      <w:r/>
    </w:p>
    <w:p>
      <w:pPr>
        <w:pStyle w:val="760"/>
        <w:ind w:left="480"/>
        <w:jc w:val="both"/>
        <w:keepLines w:val="0"/>
        <w:keepNext w:val="0"/>
        <w:pageBreakBefore w:val="0"/>
        <w:spacing w:beforeAutospacing="0" w:afterAutospacing="0" w:line="480" w:lineRule="exact"/>
        <w:widowControl w:val="off"/>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cs="宋体"/>
          <w:i w:val="0"/>
          <w:iCs/>
          <w:color w:val="000000" w:themeColor="text1"/>
          <w:highlight w:val="none"/>
          <w:u w:val="none"/>
          <w:lang w:val="en-US" w:eastAsia="zh-CN"/>
          <w14:textFill>
            <w14:solidFill>
              <w14:schemeClr w14:val="tx1"/>
            </w14:solidFill>
          </w14:textFill>
        </w:rPr>
        <w:t xml:space="preserve">八、供应商</w:t>
      </w:r>
      <w:r>
        <w:rPr>
          <w:rFonts w:hint="eastAsia" w:ascii="宋体" w:hAnsi="宋体" w:eastAsia="宋体" w:cs="宋体"/>
          <w:i w:val="0"/>
          <w:iCs/>
          <w:color w:val="000000" w:themeColor="text1"/>
          <w:highlight w:val="none"/>
          <w:u w:val="none"/>
          <w14:textFill>
            <w14:solidFill>
              <w14:schemeClr w14:val="tx1"/>
            </w14:solidFill>
          </w14:textFill>
        </w:rPr>
        <w:t xml:space="preserve">如委托被授权人参与，则被授权人须为本单位正式职工并提供</w:t>
      </w:r>
      <w:r>
        <w:rPr>
          <w:rFonts w:hint="eastAsia" w:ascii="宋体" w:hAnsi="宋体" w:cs="宋体"/>
          <w:i w:val="0"/>
          <w:iCs/>
          <w:color w:val="000000" w:themeColor="text1"/>
          <w:highlight w:val="none"/>
          <w:u w:val="none"/>
          <w:lang w:val="en-US" w:eastAsia="zh-CN"/>
          <w14:textFill>
            <w14:solidFill>
              <w14:schemeClr w14:val="tx1"/>
            </w14:solidFill>
          </w14:textFill>
        </w:rPr>
        <w:t xml:space="preserve">供应商</w:t>
      </w:r>
      <w:r>
        <w:rPr>
          <w:rFonts w:hint="eastAsia" w:ascii="宋体" w:hAnsi="宋体" w:eastAsia="宋体" w:cs="宋体"/>
          <w:i w:val="0"/>
          <w:iCs/>
          <w:color w:val="000000" w:themeColor="text1"/>
          <w:highlight w:val="none"/>
          <w:u w:val="none"/>
          <w14:textFill>
            <w14:solidFill>
              <w14:schemeClr w14:val="tx1"/>
            </w14:solidFill>
          </w14:textFill>
        </w:rPr>
        <w:t xml:space="preserve">近期为被授权人缴纳的社会养老保险证明；</w:t>
      </w:r>
      <w:r/>
    </w:p>
    <w:p>
      <w:pPr>
        <w:ind w:firstLine="480"/>
        <w:keepLines w:val="0"/>
        <w:keepNext w:val="0"/>
        <w:pageBreakBefore w:val="0"/>
        <w:spacing w:line="480" w:lineRule="exact"/>
        <w:widowControl w:val="off"/>
        <w:rPr>
          <w:rFonts w:hint="eastAsia" w:ascii="宋体" w:hAnsi="宋体" w:eastAsia="宋体" w:cs="宋体"/>
          <w:i w:val="0"/>
          <w:iCs/>
          <w:color w:val="000000" w:themeColor="text1"/>
          <w:sz w:val="24"/>
          <w:szCs w:val="21"/>
          <w:highlight w:val="none"/>
          <w:u w:val="none"/>
          <w:lang w:val="en-US" w:eastAsia="zh-CN" w:bidi="ar"/>
          <w14:textFill>
            <w14:solidFill>
              <w14:schemeClr w14:val="tx1"/>
            </w14:solidFill>
          </w14:textFill>
        </w:rPr>
      </w:pPr>
      <w:r>
        <w:rPr>
          <w:rFonts w:hint="eastAsia" w:ascii="宋体" w:hAnsi="宋体" w:cs="宋体"/>
          <w:i w:val="0"/>
          <w:iCs/>
          <w:color w:val="000000" w:themeColor="text1"/>
          <w:sz w:val="24"/>
          <w:szCs w:val="21"/>
          <w:highlight w:val="none"/>
          <w:u w:val="none"/>
          <w:lang w:val="en-US" w:eastAsia="zh-CN" w:bidi="ar"/>
          <w14:textFill>
            <w14:solidFill>
              <w14:schemeClr w14:val="tx1"/>
            </w14:solidFill>
          </w14:textFill>
        </w:rPr>
        <w:t xml:space="preserve">九</w:t>
      </w:r>
      <w:r>
        <w:rPr>
          <w:rFonts w:hint="eastAsia" w:ascii="宋体" w:hAnsi="宋体" w:eastAsia="宋体" w:cs="宋体"/>
          <w:i w:val="0"/>
          <w:iCs/>
          <w:color w:val="000000" w:themeColor="text1"/>
          <w:sz w:val="24"/>
          <w:szCs w:val="21"/>
          <w:highlight w:val="none"/>
          <w:u w:val="none"/>
          <w:lang w:val="en-US" w:eastAsia="zh-CN" w:bidi="ar"/>
          <w14:textFill>
            <w14:solidFill>
              <w14:schemeClr w14:val="tx1"/>
            </w14:solidFill>
          </w14:textFill>
        </w:rPr>
        <w:t xml:space="preserve">、报价一览表</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十</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、法人授权</w:t>
      </w:r>
      <w:r>
        <w:rPr>
          <w:rFonts w:hint="eastAsia" w:ascii="宋体" w:hAnsi="宋体" w:eastAsia="宋体" w:cs="Times New Roman"/>
          <w:color w:val="000000" w:themeColor="text1"/>
          <w:sz w:val="24"/>
          <w:highlight w:val="none"/>
          <w14:textFill>
            <w14:solidFill>
              <w14:schemeClr w14:val="tx1"/>
            </w14:solidFill>
          </w14:textFill>
        </w:rPr>
        <w:t xml:space="preserve">书</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响应函</w:t>
      </w:r>
      <w:r/>
    </w:p>
    <w:p>
      <w:pPr>
        <w:ind w:firstLine="480"/>
        <w:keepLines w:val="0"/>
        <w:keepNext w:val="0"/>
        <w:pageBreakBefore w:val="0"/>
        <w:spacing w:line="4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十二</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中小企业声明函</w:t>
      </w:r>
      <w:r/>
    </w:p>
    <w:p>
      <w:pPr>
        <w:numPr>
          <w:ilvl w:val="-1"/>
          <w:numId w:val="0"/>
        </w:numPr>
        <w:ind w:firstLine="480"/>
        <w:keepLines w:val="0"/>
        <w:keepNext w:val="0"/>
        <w:pageBreakBefore w:val="0"/>
        <w:spacing w:line="480" w:lineRule="exact"/>
        <w:widowControl w:val="off"/>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十三、</w:t>
      </w:r>
      <w:r>
        <w:rPr>
          <w:rFonts w:hint="eastAsia" w:ascii="宋体" w:hAnsi="宋体"/>
          <w:color w:val="000000" w:themeColor="text1"/>
          <w:sz w:val="24"/>
          <w:highlight w:val="none"/>
          <w14:textFill>
            <w14:solidFill>
              <w14:schemeClr w14:val="tx1"/>
            </w14:solidFill>
          </w14:textFill>
        </w:rPr>
        <w:t xml:space="preserve">残疾人福利性单位声明函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如有</w:t>
      </w:r>
      <w:r>
        <w:rPr>
          <w:rFonts w:hint="eastAsia" w:ascii="宋体" w:hAnsi="宋体"/>
          <w:color w:val="000000" w:themeColor="text1"/>
          <w:sz w:val="24"/>
          <w:highlight w:val="none"/>
          <w:lang w:eastAsia="zh-CN"/>
          <w14:textFill>
            <w14:solidFill>
              <w14:schemeClr w14:val="tx1"/>
            </w14:solidFill>
          </w14:textFill>
        </w:rPr>
        <w:t xml:space="preserve">）</w:t>
      </w:r>
      <w:r/>
    </w:p>
    <w:p>
      <w:pPr>
        <w:pStyle w:val="769"/>
        <w:numPr>
          <w:ilvl w:val="-1"/>
          <w:numId w:val="0"/>
        </w:numPr>
        <w:ind w:firstLine="480"/>
        <w:rPr>
          <w:rFonts w:hint="eastAsia"/>
        </w:rPr>
      </w:pPr>
      <w:r>
        <w:rPr>
          <w:rFonts w:hint="eastAsia"/>
          <w:lang w:val="en-US" w:eastAsia="zh-CN"/>
        </w:rPr>
        <w:t xml:space="preserve">十四、</w:t>
      </w:r>
      <w:r>
        <w:rPr>
          <w:rFonts w:hint="eastAsia"/>
        </w:rPr>
        <w:t xml:space="preserve">供应商情况一览表</w:t>
      </w:r>
      <w:r/>
    </w:p>
    <w:p>
      <w:pPr>
        <w:pStyle w:val="769"/>
        <w:numPr>
          <w:ilvl w:val="-1"/>
          <w:numId w:val="0"/>
        </w:numPr>
        <w:ind w:firstLine="480"/>
        <w:rPr>
          <w:rFonts w:hint="eastAsia"/>
          <w:lang w:val="en-US" w:eastAsia="zh-CN"/>
        </w:rPr>
      </w:pPr>
      <w:r>
        <w:rPr>
          <w:rFonts w:hint="eastAsia"/>
          <w:lang w:val="en-US" w:eastAsia="zh-CN"/>
        </w:rPr>
        <w:t xml:space="preserve">十五、质量保证书</w:t>
      </w:r>
      <w:r/>
    </w:p>
    <w:p>
      <w:pPr>
        <w:pStyle w:val="769"/>
        <w:numPr>
          <w:ilvl w:val="-1"/>
          <w:numId w:val="0"/>
        </w:numPr>
        <w:ind w:firstLine="480"/>
        <w:rPr>
          <w:rFonts w:hint="default"/>
          <w:lang w:val="en-US" w:eastAsia="zh-CN"/>
        </w:rPr>
      </w:pPr>
      <w:r>
        <w:rPr>
          <w:rFonts w:hint="eastAsia"/>
          <w:lang w:val="en-US" w:eastAsia="zh-CN"/>
        </w:rPr>
        <w:t xml:space="preserve">十六、维修服务承诺函（承诺函格式见附表十六）</w:t>
      </w:r>
      <w:r/>
    </w:p>
    <w:p>
      <w:pPr>
        <w:ind w:firstLine="480"/>
        <w:keepLines w:val="0"/>
        <w:keepNext w:val="0"/>
        <w:pageBreakBefore w:val="0"/>
        <w:spacing w:line="4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十七、</w:t>
      </w:r>
      <w:r>
        <w:rPr>
          <w:rFonts w:hint="eastAsia" w:ascii="宋体" w:hAnsi="宋体"/>
          <w:color w:val="000000" w:themeColor="text1"/>
          <w:sz w:val="24"/>
          <w:highlight w:val="none"/>
          <w14:textFill>
            <w14:solidFill>
              <w14:schemeClr w14:val="tx1"/>
            </w14:solidFill>
          </w14:textFill>
        </w:rPr>
        <w:t xml:space="preserve">盐城市政府采购事前信用承诺书</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十</w:t>
      </w:r>
      <w:r>
        <w:rPr>
          <w:rFonts w:hint="eastAsia" w:ascii="宋体" w:hAnsi="宋体" w:cs="Times New Roman"/>
          <w:color w:val="000000" w:themeColor="text1"/>
          <w:sz w:val="24"/>
          <w:highlight w:val="none"/>
          <w:lang w:val="en-US" w:eastAsia="zh-CN"/>
          <w14:textFill>
            <w14:solidFill>
              <w14:schemeClr w14:val="tx1"/>
            </w14:solidFill>
          </w14:textFill>
        </w:rPr>
        <w:t xml:space="preserve">八</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与评审有关的其他资料</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如有</w:t>
      </w:r>
      <w:r>
        <w:rPr>
          <w:rFonts w:hint="eastAsia" w:ascii="宋体" w:hAnsi="宋体" w:cs="Times New Roman"/>
          <w:color w:val="000000" w:themeColor="text1"/>
          <w:sz w:val="24"/>
          <w:highlight w:val="none"/>
          <w:lang w:eastAsia="zh-CN"/>
          <w14:textFill>
            <w14:solidFill>
              <w14:schemeClr w14:val="tx1"/>
            </w14:solidFill>
          </w14:textFill>
        </w:rPr>
        <w:t xml:space="preserve">）</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0" w:right="0" w:firstLine="0"/>
        <w:jc w:val="center"/>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ascii="黑体" w:hAnsi="黑体" w:eastAsia="黑体"/>
          <w:i/>
          <w:color w:val="000000" w:themeColor="text1"/>
          <w:sz w:val="32"/>
          <w:szCs w:val="32"/>
          <w:highlight w:val="none"/>
          <w:u w:val="single"/>
          <w14:textFill>
            <w14:solidFill>
              <w14:schemeClr w14:val="tx1"/>
            </w14:solidFill>
          </w14:textFill>
        </w:rPr>
        <w:br w:type="page" w:clear="all"/>
      </w:r>
      <w:bookmarkStart w:id="243" w:name="_Toc120614284"/>
      <w:r>
        <w:rPr>
          <w:rFonts w:hint="eastAsia" w:ascii="黑体" w:eastAsia="黑体" w:cs="Times New Roman"/>
          <w:b/>
          <w:bCs/>
          <w:sz w:val="32"/>
          <w:szCs w:val="32"/>
          <w:highlight w:val="none"/>
          <w:lang w:val="en-US" w:eastAsia="zh-CN"/>
        </w:rPr>
        <w:t xml:space="preserve">一、</w:t>
      </w:r>
      <w:r>
        <w:rPr>
          <w:rFonts w:hint="eastAsia" w:ascii="黑体" w:hAnsi="Times New Roman" w:eastAsia="黑体" w:cs="Times New Roman"/>
          <w:b/>
          <w:bCs/>
          <w:sz w:val="32"/>
          <w:szCs w:val="32"/>
          <w:highlight w:val="none"/>
          <w:lang w:val="en-US" w:eastAsia="zh-CN"/>
        </w:rPr>
        <w:t xml:space="preserve">法人或者其他组织的营业执照等证明文件，自然人的身份证明</w:t>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0"/>
        <w:jc w:val="both"/>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t xml:space="preserve">二、</w:t>
      </w:r>
      <w:r>
        <w:rPr>
          <w:rFonts w:hint="eastAsia" w:ascii="黑体" w:hAnsi="Times New Roman" w:eastAsia="黑体" w:cs="Times New Roman"/>
          <w:b/>
          <w:bCs/>
          <w:sz w:val="32"/>
          <w:szCs w:val="32"/>
          <w:highlight w:val="none"/>
          <w:lang w:val="en-US" w:eastAsia="zh-CN"/>
        </w:rPr>
        <w:t xml:space="preserve">上一年度的财务状况报</w:t>
      </w:r>
      <w:r>
        <w:rPr>
          <w:rFonts w:hint="eastAsia" w:ascii="黑体" w:eastAsia="黑体" w:cs="Times New Roman"/>
          <w:b/>
          <w:bCs/>
          <w:sz w:val="32"/>
          <w:szCs w:val="32"/>
          <w:highlight w:val="none"/>
          <w:lang w:val="en-US" w:eastAsia="zh-CN"/>
        </w:rPr>
        <w:t xml:space="preserve">表</w:t>
      </w:r>
      <w:r>
        <w:rPr>
          <w:rFonts w:hint="eastAsia" w:ascii="黑体" w:hAnsi="Times New Roman" w:eastAsia="黑体" w:cs="Times New Roman"/>
          <w:b/>
          <w:bCs/>
          <w:sz w:val="32"/>
          <w:szCs w:val="32"/>
          <w:highlight w:val="none"/>
          <w:lang w:val="en-US" w:eastAsia="zh-CN"/>
        </w:rPr>
        <w:t xml:space="preserve">（至少提供资产负债表、利润表、现金流量表，投标人成立不满一年无需提供）</w:t>
      </w:r>
      <w:r/>
    </w:p>
    <w:p>
      <w:pPr>
        <w:ind w:left="0" w:right="0" w:firstLine="0"/>
        <w:jc w:val="left"/>
        <w:keepLines w:val="0"/>
        <w:keepNext w:val="0"/>
        <w:spacing w:before="0" w:beforeAutospacing="0" w:after="0" w:afterAutospacing="0" w:line="500" w:lineRule="exact"/>
        <w:widowControl w:val="off"/>
        <w:rPr>
          <w:rFonts w:hint="eastAsia" w:ascii="宋体" w:hAnsi="宋体"/>
          <w:sz w:val="32"/>
          <w:szCs w:val="32"/>
          <w:highlight w:val="none"/>
          <w:lang w:val="en-US" w:eastAsia="zh-CN"/>
        </w:rPr>
        <w:suppressLineNumbers w:val="0"/>
      </w:pPr>
      <w:r>
        <w:rPr>
          <w:rFonts w:hint="eastAsia"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三、</w:t>
      </w:r>
      <w:r>
        <w:rPr>
          <w:rFonts w:hint="eastAsia" w:ascii="黑体" w:hAnsi="Calibri" w:eastAsia="黑体" w:cs="Times New Roman"/>
          <w:b/>
          <w:bCs/>
          <w:sz w:val="32"/>
          <w:szCs w:val="32"/>
          <w:highlight w:val="none"/>
        </w:rPr>
        <w:t xml:space="preserve">具</w:t>
      </w:r>
      <w:r>
        <w:rPr>
          <w:rFonts w:hint="eastAsia" w:ascii="黑体" w:eastAsia="黑体"/>
          <w:b/>
          <w:bCs/>
          <w:sz w:val="32"/>
          <w:szCs w:val="32"/>
          <w:highlight w:val="none"/>
        </w:rPr>
        <w:t xml:space="preserve">有履行合同所必需的设备和专业技术能力的书面声明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left="0" w:right="0" w:firstLine="552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eastAsia="黑体" w:cs="Times New Roman"/>
          <w:b/>
          <w:bCs/>
          <w:sz w:val="32"/>
          <w:szCs w:val="32"/>
          <w:highlight w:val="none"/>
          <w:lang w:val="en-US" w:eastAsia="zh-CN"/>
        </w:rPr>
        <w:t xml:space="preserve">四、</w:t>
      </w:r>
      <w:r>
        <w:rPr>
          <w:rFonts w:hint="eastAsia" w:ascii="黑体" w:hAnsi="Times New Roman" w:eastAsia="黑体" w:cs="Times New Roman"/>
          <w:b/>
          <w:bCs/>
          <w:sz w:val="32"/>
          <w:szCs w:val="32"/>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spacing w:line="600" w:lineRule="exact"/>
        <w:rPr>
          <w:rFonts w:hint="eastAsia" w:ascii="黑体" w:eastAsia="黑体"/>
          <w:b/>
          <w:bCs/>
          <w:sz w:val="32"/>
          <w:szCs w:val="32"/>
          <w:highlight w:val="none"/>
        </w:rPr>
      </w:pPr>
      <w:r>
        <w:rPr>
          <w:rFonts w:hint="eastAsia" w:ascii="黑体" w:hAnsi="Calibri" w:eastAsia="黑体" w:cs="Times New Roman"/>
          <w:b/>
          <w:bCs/>
          <w:sz w:val="32"/>
          <w:szCs w:val="32"/>
          <w:highlight w:val="none"/>
          <w:lang w:val="en-US" w:eastAsia="zh-CN"/>
        </w:rPr>
        <w:t xml:space="preserve">五、</w:t>
      </w:r>
      <w:r>
        <w:rPr>
          <w:rFonts w:hint="eastAsia" w:ascii="黑体" w:hAnsi="Calibri" w:eastAsia="黑体" w:cs="Times New Roman"/>
          <w:b/>
          <w:bCs/>
          <w:sz w:val="32"/>
          <w:szCs w:val="32"/>
          <w:highlight w:val="none"/>
        </w:rPr>
        <w:t xml:space="preserve">参加</w:t>
      </w:r>
      <w:r>
        <w:rPr>
          <w:rFonts w:hint="eastAsia" w:ascii="黑体" w:eastAsia="黑体"/>
          <w:b/>
          <w:bCs/>
          <w:sz w:val="32"/>
          <w:szCs w:val="32"/>
          <w:highlight w:val="none"/>
        </w:rPr>
        <w:t xml:space="preserve">政府采购活动前3年内在经营活动中</w:t>
      </w:r>
      <w:r/>
    </w:p>
    <w:p>
      <w:pPr>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         </w:t>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eastAsia="黑体" w:cs="Times New Roman"/>
          <w:b/>
          <w:bCs/>
          <w:sz w:val="32"/>
          <w:szCs w:val="32"/>
          <w:highlight w:val="none"/>
          <w:lang w:val="en-US" w:eastAsia="zh-CN"/>
        </w:rPr>
        <w:t xml:space="preserve">六、</w:t>
      </w:r>
      <w:r>
        <w:rPr>
          <w:rFonts w:hint="eastAsia" w:ascii="黑体" w:hAnsi="Times New Roman" w:eastAsia="黑体" w:cs="Times New Roman"/>
          <w:b/>
          <w:bCs/>
          <w:sz w:val="32"/>
          <w:szCs w:val="32"/>
          <w:highlight w:val="none"/>
        </w:rPr>
        <w:t xml:space="preserve">单位负责人为同一人或者存在直接控股、管理关系的不同供应商，不得参加同一合同项下的政府采购活动。（自行承诺，格式自理）</w:t>
      </w: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ind w:left="0" w:firstLine="0"/>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63"/>
        <w:numPr>
          <w:ilvl w:val="0"/>
          <w:numId w:val="0"/>
        </w:numPr>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numPr>
          <w:ilvl w:val="0"/>
          <w:numId w:val="0"/>
        </w:numPr>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numPr>
          <w:ilvl w:val="0"/>
          <w:numId w:val="0"/>
        </w:numPr>
        <w:keepLines w:val="0"/>
        <w:keepNext w:val="0"/>
        <w:widowControl/>
        <w:rPr>
          <w:rFonts w:hint="eastAsia" w:ascii="黑体" w:hAnsi="Times New Roman" w:eastAsia="黑体" w:cs="Times New Roman"/>
          <w:b/>
          <w:bCs/>
          <w:sz w:val="32"/>
          <w:szCs w:val="32"/>
          <w:highlight w:val="none"/>
        </w:rPr>
        <w:suppressLineNumbers w:val="0"/>
      </w:pPr>
      <w:r>
        <w:rPr>
          <w:rFonts w:hint="eastAsia" w:ascii="黑体" w:eastAsia="黑体" w:cs="Times New Roman"/>
          <w:b/>
          <w:bCs/>
          <w:sz w:val="32"/>
          <w:szCs w:val="32"/>
          <w:highlight w:val="none"/>
          <w:lang w:val="en-US" w:eastAsia="zh-CN"/>
        </w:rPr>
        <w:t xml:space="preserve">七、</w:t>
      </w:r>
      <w:r>
        <w:rPr>
          <w:rFonts w:hint="eastAsia" w:ascii="黑体" w:hAnsi="Times New Roman" w:eastAsia="黑体" w:cs="Times New Roman"/>
          <w:b/>
          <w:bCs/>
          <w:sz w:val="32"/>
          <w:szCs w:val="32"/>
          <w:highlight w:val="none"/>
        </w:rPr>
        <w:t xml:space="preserve">供应商（包括依法取得工商营业执照的个体工商户）具备有效的机动车维修经营备案证明（二类及以上资质），并承诺在服务期限内具备该资质</w:t>
      </w:r>
      <w:r>
        <w:rPr>
          <w:rFonts w:hint="eastAsia" w:ascii="黑体" w:eastAsia="黑体" w:cs="Times New Roman"/>
          <w:b/>
          <w:bCs/>
          <w:sz w:val="32"/>
          <w:szCs w:val="32"/>
          <w:highlight w:val="none"/>
          <w:lang w:eastAsia="zh-CN"/>
        </w:rPr>
        <w:t xml:space="preserve">。</w:t>
      </w:r>
      <w:r>
        <w:rPr>
          <w:rFonts w:hint="eastAsia" w:ascii="黑体" w:hAnsi="Times New Roman" w:eastAsia="黑体" w:cs="Times New Roman"/>
          <w:b/>
          <w:bCs/>
          <w:sz w:val="32"/>
          <w:szCs w:val="32"/>
          <w:highlight w:val="none"/>
        </w:rPr>
        <w:t xml:space="preserve">（</w:t>
      </w:r>
      <w:r>
        <w:rPr>
          <w:rFonts w:hint="eastAsia" w:ascii="黑体" w:eastAsia="黑体" w:cs="Times New Roman"/>
          <w:b/>
          <w:bCs/>
          <w:sz w:val="32"/>
          <w:szCs w:val="32"/>
          <w:highlight w:val="none"/>
          <w:lang w:val="en-US" w:eastAsia="zh-CN"/>
        </w:rPr>
        <w:t xml:space="preserve">上传备案证明并提供承诺函</w:t>
      </w:r>
      <w:r>
        <w:rPr>
          <w:rFonts w:hint="eastAsia" w:ascii="黑体" w:hAnsi="Times New Roman" w:eastAsia="黑体" w:cs="Times New Roman"/>
          <w:b/>
          <w:bCs/>
          <w:sz w:val="32"/>
          <w:szCs w:val="32"/>
          <w:highlight w:val="none"/>
        </w:rPr>
        <w:t xml:space="preserve">）</w:t>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jc w:val="center"/>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63"/>
        <w:ind w:left="0" w:firstLine="0"/>
        <w:jc w:val="center"/>
        <w:keepLines w:val="0"/>
        <w:keepNext w:val="0"/>
        <w:widowControl/>
        <w:rPr>
          <w:rFonts w:hint="eastAsia" w:ascii="黑体" w:hAnsi="Times New Roman"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t xml:space="preserve">资质承诺函</w:t>
      </w:r>
      <w:r/>
    </w:p>
    <w:p>
      <w:pPr>
        <w:pStyle w:val="763"/>
        <w:ind w:left="0" w:firstLine="0"/>
        <w:keepLines w:val="0"/>
        <w:keepNext w:val="0"/>
        <w:widowControl/>
        <w:rPr>
          <w:rFonts w:hint="eastAsia" w:ascii="宋体" w:hAnsi="宋体"/>
          <w:sz w:val="24"/>
          <w:szCs w:val="24"/>
          <w:highlight w:val="none"/>
          <w:lang w:val="en-US" w:eastAsia="zh-CN"/>
        </w:rPr>
        <w:suppressLineNumbers w:val="0"/>
      </w:pPr>
      <w:r>
        <w:rPr>
          <w:rFonts w:hint="eastAsia" w:ascii="宋体" w:hAnsi="宋体"/>
          <w:sz w:val="24"/>
          <w:szCs w:val="24"/>
          <w:highlight w:val="none"/>
          <w:lang w:val="en-US" w:eastAsia="zh-CN"/>
        </w:rPr>
      </w:r>
      <w:r/>
    </w:p>
    <w:p>
      <w:pPr>
        <w:pStyle w:val="763"/>
        <w:ind w:left="0" w:firstLine="0"/>
        <w:keepLines w:val="0"/>
        <w:keepNext w:val="0"/>
        <w:widowControl/>
        <w:rPr>
          <w:rFonts w:hint="eastAsia" w:ascii="黑体" w:hAnsi="Times New Roman" w:eastAsia="黑体" w:cs="Times New Roman"/>
          <w:b/>
          <w:bCs/>
          <w:sz w:val="32"/>
          <w:szCs w:val="32"/>
          <w:highlight w:val="none"/>
          <w:lang w:val="en-US" w:eastAsia="zh-CN"/>
        </w:rPr>
        <w:suppressLineNumbers w:val="0"/>
      </w:pPr>
      <w:r>
        <w:rPr>
          <w:rFonts w:hint="eastAsia" w:ascii="宋体" w:hAnsi="宋体"/>
          <w:sz w:val="24"/>
          <w:szCs w:val="24"/>
          <w:highlight w:val="none"/>
          <w:lang w:val="en-US" w:eastAsia="zh-CN"/>
        </w:rPr>
        <w:t xml:space="preserve">东台市机关事务服务</w:t>
      </w:r>
      <w:r>
        <w:rPr>
          <w:rFonts w:hint="eastAsia" w:ascii="宋体" w:hAnsi="宋体"/>
          <w:sz w:val="24"/>
          <w:szCs w:val="24"/>
          <w:highlight w:val="none"/>
        </w:rPr>
        <w:t xml:space="preserve">中心：</w:t>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480"/>
        <w:keepLines w:val="0"/>
        <w:keepNext w:val="0"/>
        <w:pageBreakBefore w:val="0"/>
        <w:spacing w:line="480" w:lineRule="auto"/>
        <w:widowControl/>
        <w:rPr>
          <w:rFonts w:hint="eastAsia" w:ascii="黑体" w:hAnsi="Times New Roman" w:eastAsia="黑体" w:cs="Times New Roman"/>
          <w:b/>
          <w:bCs/>
          <w:sz w:val="32"/>
          <w:szCs w:val="32"/>
          <w:highlight w:val="none"/>
        </w:rPr>
        <w:suppressLineNumbers w:val="0"/>
      </w:pPr>
      <w:r>
        <w:rPr>
          <w:rFonts w:hint="eastAsia" w:ascii="宋体" w:hAnsi="宋体" w:eastAsia="宋体" w:cs="宋体"/>
          <w:color w:val="000000"/>
          <w:sz w:val="24"/>
          <w:szCs w:val="24"/>
        </w:rPr>
        <w:t xml:space="preserve">____________（供应商名称）</w:t>
      </w:r>
      <w:r>
        <w:rPr>
          <w:rFonts w:hint="eastAsia" w:ascii="宋体" w:hAnsi="宋体" w:eastAsia="宋体" w:cs="宋体"/>
          <w:b w:val="0"/>
          <w:bCs w:val="0"/>
          <w:sz w:val="24"/>
          <w:szCs w:val="24"/>
          <w:highlight w:val="none"/>
        </w:rPr>
        <w:t xml:space="preserve">参加2026-2027年度东台市党政机关、事业单位和团体组织公务用车维修和保养服务框架协议采购项目（征集文件编号：</w:t>
      </w:r>
      <w:r>
        <w:rPr>
          <w:rFonts w:hint="eastAsia" w:ascii="宋体" w:hAnsi="宋体" w:cs="宋体"/>
          <w:b w:val="0"/>
          <w:bCs w:val="0"/>
          <w:sz w:val="24"/>
          <w:szCs w:val="24"/>
          <w:highlight w:val="none"/>
          <w:lang w:eastAsia="zh-CN"/>
        </w:rPr>
        <w:t xml:space="preserve">JSZC-320981-JZCG-K2025-0029</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如有幸</w:t>
      </w:r>
      <w:r>
        <w:rPr>
          <w:rFonts w:hint="eastAsia" w:ascii="宋体" w:hAnsi="宋体" w:eastAsia="宋体" w:cs="宋体"/>
          <w:b w:val="0"/>
          <w:bCs w:val="0"/>
          <w:sz w:val="24"/>
          <w:szCs w:val="24"/>
          <w:highlight w:val="none"/>
          <w:lang w:val="en-US" w:eastAsia="zh-CN"/>
        </w:rPr>
        <w:t xml:space="preserve">入围</w:t>
      </w:r>
      <w:r>
        <w:rPr>
          <w:rFonts w:hint="eastAsia" w:ascii="宋体" w:hAnsi="宋体" w:eastAsia="宋体" w:cs="宋体"/>
          <w:b w:val="0"/>
          <w:bCs w:val="0"/>
          <w:sz w:val="24"/>
          <w:szCs w:val="24"/>
          <w:highlight w:val="none"/>
        </w:rPr>
        <w:t xml:space="preserve">成为</w:t>
      </w:r>
      <w:r>
        <w:rPr>
          <w:rFonts w:hint="eastAsia" w:ascii="宋体" w:hAnsi="宋体" w:eastAsia="宋体" w:cs="宋体"/>
          <w:b w:val="0"/>
          <w:bCs w:val="0"/>
          <w:sz w:val="24"/>
          <w:szCs w:val="24"/>
          <w:highlight w:val="none"/>
          <w:lang w:val="en-US" w:eastAsia="zh-CN"/>
        </w:rPr>
        <w:t xml:space="preserve">服务</w:t>
      </w:r>
      <w:r>
        <w:rPr>
          <w:rFonts w:hint="eastAsia" w:ascii="宋体" w:hAnsi="宋体" w:eastAsia="宋体" w:cs="宋体"/>
          <w:b w:val="0"/>
          <w:bCs w:val="0"/>
          <w:sz w:val="24"/>
          <w:szCs w:val="24"/>
          <w:highlight w:val="none"/>
        </w:rPr>
        <w:t xml:space="preserve">维修单位，特向贵方保证，</w:t>
      </w:r>
      <w:r>
        <w:rPr>
          <w:rFonts w:hint="eastAsia" w:ascii="宋体" w:hAnsi="宋体" w:eastAsia="宋体" w:cs="宋体"/>
          <w:b w:val="0"/>
          <w:bCs w:val="0"/>
          <w:sz w:val="24"/>
          <w:szCs w:val="24"/>
          <w:highlight w:val="none"/>
          <w:lang w:val="en-US" w:eastAsia="zh-CN"/>
        </w:rPr>
        <w:t xml:space="preserve">我方机动车维修经营备案证明在本次服务期内均有效，否则</w:t>
      </w:r>
      <w:r>
        <w:rPr>
          <w:rFonts w:hint="eastAsia" w:ascii="宋体" w:hAnsi="宋体" w:eastAsia="宋体" w:cs="宋体"/>
          <w:b w:val="0"/>
          <w:bCs w:val="0"/>
          <w:sz w:val="24"/>
          <w:szCs w:val="24"/>
          <w:highlight w:val="none"/>
        </w:rPr>
        <w:t xml:space="preserve">由我</w:t>
      </w:r>
      <w:r>
        <w:rPr>
          <w:rFonts w:hint="eastAsia" w:ascii="宋体" w:hAnsi="宋体" w:cs="宋体"/>
          <w:b w:val="0"/>
          <w:bCs w:val="0"/>
          <w:sz w:val="24"/>
          <w:szCs w:val="24"/>
          <w:highlight w:val="none"/>
          <w:lang w:val="en-US" w:eastAsia="zh-CN"/>
        </w:rPr>
        <w:t xml:space="preserve">方</w:t>
      </w:r>
      <w:r>
        <w:rPr>
          <w:rFonts w:hint="eastAsia" w:ascii="宋体" w:hAnsi="宋体" w:eastAsia="宋体" w:cs="宋体"/>
          <w:b w:val="0"/>
          <w:bCs w:val="0"/>
          <w:sz w:val="24"/>
          <w:szCs w:val="24"/>
          <w:highlight w:val="none"/>
        </w:rPr>
        <w:t xml:space="preserve">承担全部责任。</w:t>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t xml:space="preserve">八、供应商如委托被授权人参与，则被授权人须为本单位正式职工并提供供应商近期为被授权人缴纳的社会养老保险证明；</w:t>
      </w:r>
      <w:r/>
    </w:p>
    <w:p>
      <w:pPr>
        <w:pStyle w:val="763"/>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63"/>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600" w:lineRule="exact"/>
        <w:rPr>
          <w:rFonts w:hint="eastAsia" w:ascii="黑体" w:hAnsi="宋体" w:eastAsia="黑体" w:cs="Times New Roman"/>
          <w:bCs/>
          <w:sz w:val="24"/>
          <w:szCs w:val="24"/>
          <w:highlight w:val="none"/>
        </w:rPr>
        <w:outlineLvl w:val="1"/>
      </w:pPr>
      <w:r>
        <w:rPr>
          <w:rFonts w:hint="eastAsia" w:ascii="黑体" w:hAnsi="宋体" w:eastAsia="黑体" w:cs="Times New Roman"/>
          <w:bCs/>
          <w:sz w:val="24"/>
          <w:szCs w:val="24"/>
          <w:highlight w:val="none"/>
        </w:rPr>
        <w:t xml:space="preserve"> </w:t>
      </w:r>
      <w:r/>
    </w:p>
    <w:p>
      <w:pPr>
        <w:jc w:val="center"/>
        <w:spacing w:line="600" w:lineRule="exact"/>
        <w:rPr>
          <w:rFonts w:hint="eastAsia" w:ascii="黑体" w:hAnsi="宋体" w:eastAsia="黑体" w:cs="Times New Roman"/>
          <w:bCs/>
          <w:sz w:val="24"/>
          <w:szCs w:val="24"/>
          <w:highlight w:val="none"/>
        </w:rPr>
        <w:sectPr>
          <w:footerReference w:type="default" r:id="rId12"/>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黑体" w:hAnsi="宋体" w:eastAsia="黑体" w:cs="Times New Roman"/>
          <w:bCs/>
          <w:sz w:val="24"/>
          <w:szCs w:val="24"/>
          <w:highlight w:val="none"/>
        </w:rPr>
      </w:r>
      <w:r/>
    </w:p>
    <w:p>
      <w:pPr>
        <w:pStyle w:val="760"/>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九、</w:t>
      </w:r>
      <w:r>
        <w:rPr>
          <w:rFonts w:hint="eastAsia" w:ascii="黑体" w:hAnsi="Times New Roman" w:eastAsia="黑体" w:cs="Times New Roman"/>
          <w:b/>
          <w:bCs/>
          <w:sz w:val="32"/>
          <w:szCs w:val="32"/>
          <w:highlight w:val="none"/>
          <w:lang w:val="en-US" w:eastAsia="zh-CN" w:bidi="ar-SA"/>
        </w:rPr>
        <w:t xml:space="preserve">报价一览表</w:t>
      </w:r>
      <w:r/>
    </w:p>
    <w:p>
      <w:pPr>
        <w:ind w:firstLine="482"/>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项目名称：2026-2027年度东台市党政机关、事业单位和团体组织公务用车维修和保养服务框架协议采购项目</w:t>
      </w:r>
      <w:r/>
    </w:p>
    <w:p>
      <w:pPr>
        <w:ind w:firstLine="482"/>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项目编号：</w:t>
      </w:r>
      <w:r>
        <w:rPr>
          <w:rFonts w:hint="eastAsia" w:ascii="宋体" w:hAnsi="宋体" w:cs="宋体"/>
          <w:sz w:val="24"/>
          <w:lang w:val="en-US" w:eastAsia="zh-CN"/>
        </w:rPr>
        <w:t xml:space="preserve">JSZC-320981-JZCG-K2025-0029</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供应商全称（加盖CA电子签章）：</w:t>
      </w:r>
      <w:r/>
    </w:p>
    <w:tbl>
      <w:tblPr>
        <w:tblStyle w:val="737"/>
        <w:tblW w:w="967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1"/>
        <w:gridCol w:w="6488"/>
      </w:tblGrid>
      <w:tr>
        <w:trPr>
          <w:cantSplit/>
          <w:trHeight w:val="716"/>
        </w:trPr>
        <w:tc>
          <w:tcPr>
            <w:tcW w:w="3191"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工时单价</w:t>
            </w:r>
            <w:r/>
          </w:p>
        </w:tc>
        <w:tc>
          <w:tcPr>
            <w:tcW w:w="6488" w:type="dxa"/>
            <w:vAlign w:val="center"/>
            <w:textDirection w:val="lrTb"/>
            <w:noWrap w:val="false"/>
          </w:tcPr>
          <w:p>
            <w:pPr>
              <w:jc w:val="center"/>
              <w:rPr>
                <w:rFonts w:asciiTheme="minorEastAsia" w:hAnsiTheme="minorEastAsia"/>
                <w:sz w:val="24"/>
                <w:szCs w:val="24"/>
                <w:u w:val="single"/>
              </w:rPr>
            </w:pP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元/工时</w:t>
            </w:r>
            <w:r/>
          </w:p>
        </w:tc>
      </w:tr>
      <w:tr>
        <w:trPr>
          <w:cantSplit/>
          <w:trHeight w:val="751"/>
        </w:trPr>
        <w:tc>
          <w:tcPr>
            <w:tcW w:w="3191" w:type="dxa"/>
            <w:vAlign w:val="center"/>
            <w:textDirection w:val="lrTb"/>
            <w:noWrap w:val="false"/>
          </w:tcPr>
          <w:p>
            <w:pPr>
              <w:jc w:val="center"/>
              <w:rPr>
                <w:rFonts w:asciiTheme="minorEastAsia" w:hAnsiTheme="minorEastAsia"/>
                <w:sz w:val="24"/>
                <w:szCs w:val="24"/>
                <w:lang w:eastAsia="zh-CN"/>
              </w:rPr>
            </w:pPr>
            <w:r>
              <w:rPr>
                <w:rFonts w:hint="eastAsia" w:asciiTheme="minorEastAsia" w:hAnsiTheme="minorEastAsia"/>
                <w:sz w:val="24"/>
                <w:szCs w:val="24"/>
                <w:lang w:val="en-US" w:eastAsia="zh-CN"/>
              </w:rPr>
              <w:t xml:space="preserve">a：</w:t>
            </w:r>
            <w:r>
              <w:rPr>
                <w:rFonts w:hint="eastAsia" w:asciiTheme="minorEastAsia" w:hAnsiTheme="minorEastAsia"/>
                <w:sz w:val="24"/>
                <w:szCs w:val="24"/>
                <w:lang w:eastAsia="zh-CN"/>
              </w:rPr>
              <w:t xml:space="preserve">工时单价除以工时单价最高限价的数值</w:t>
            </w:r>
            <w:r/>
          </w:p>
        </w:tc>
        <w:tc>
          <w:tcPr>
            <w:tcW w:w="6488" w:type="dxa"/>
            <w:vAlign w:val="center"/>
            <w:textDirection w:val="lrTb"/>
            <w:noWrap w:val="false"/>
          </w:tcPr>
          <w:p>
            <w:pPr>
              <w:jc w:val="center"/>
              <w:rPr>
                <w:rFonts w:asciiTheme="minorEastAsia" w:hAnsiTheme="minorEastAsia"/>
                <w:sz w:val="24"/>
                <w:szCs w:val="24"/>
                <w:u w:val="single"/>
              </w:rPr>
            </w:pPr>
            <w:r>
              <w:rPr>
                <w:rFonts w:hint="eastAsia" w:asciiTheme="minorEastAsia" w:hAnsiTheme="minorEastAsia"/>
                <w:sz w:val="24"/>
                <w:szCs w:val="24"/>
                <w:u w:val="single"/>
                <w:lang w:eastAsia="zh-CN"/>
              </w:rPr>
              <w:t xml:space="preserve">    </w:t>
            </w:r>
            <w:r>
              <w:rPr>
                <w:rFonts w:hint="eastAsia" w:asciiTheme="minorEastAsia" w:hAnsiTheme="minorEastAsia"/>
                <w:sz w:val="24"/>
                <w:szCs w:val="24"/>
                <w:u w:val="single"/>
                <w:lang w:val="en-US" w:eastAsia="zh-CN"/>
              </w:rPr>
              <w:t xml:space="preserve"> </w:t>
            </w: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rPr>
              <w:t xml:space="preserve">%</w:t>
            </w:r>
            <w:r/>
          </w:p>
        </w:tc>
      </w:tr>
      <w:tr>
        <w:trPr>
          <w:cantSplit/>
          <w:trHeight w:val="877"/>
        </w:trPr>
        <w:tc>
          <w:tcPr>
            <w:tcW w:w="3191" w:type="dxa"/>
            <w:vAlign w:val="center"/>
            <w:textDirection w:val="lrTb"/>
            <w:noWrap w:val="false"/>
          </w:tcPr>
          <w:p>
            <w:pPr>
              <w:jc w:val="center"/>
              <w:rPr>
                <w:rFonts w:asciiTheme="minorEastAsia" w:hAnsiTheme="minorEastAsia"/>
                <w:b/>
                <w:bCs/>
                <w:sz w:val="24"/>
                <w:szCs w:val="24"/>
              </w:rPr>
            </w:pPr>
            <w:r>
              <w:rPr>
                <w:rFonts w:hint="eastAsia" w:asciiTheme="minorEastAsia" w:hAnsiTheme="minorEastAsia"/>
                <w:sz w:val="24"/>
                <w:szCs w:val="24"/>
                <w:lang w:val="en-US" w:eastAsia="zh-CN"/>
              </w:rPr>
              <w:t xml:space="preserve">b：</w:t>
            </w:r>
            <w:r>
              <w:rPr>
                <w:rFonts w:hint="eastAsia" w:asciiTheme="minorEastAsia" w:hAnsiTheme="minorEastAsia"/>
                <w:sz w:val="24"/>
                <w:szCs w:val="24"/>
              </w:rPr>
              <w:t xml:space="preserve">材料进销差价率</w:t>
            </w:r>
            <w:r/>
          </w:p>
        </w:tc>
        <w:tc>
          <w:tcPr>
            <w:tcW w:w="6488" w:type="dxa"/>
            <w:vAlign w:val="center"/>
            <w:textDirection w:val="lrTb"/>
            <w:noWrap w:val="false"/>
          </w:tcPr>
          <w:p>
            <w:pPr>
              <w:jc w:val="center"/>
              <w:rPr>
                <w:rFonts w:asciiTheme="minorEastAsia" w:hAnsiTheme="minorEastAsia"/>
                <w:sz w:val="24"/>
                <w:szCs w:val="24"/>
                <w:u w:val="single"/>
              </w:rPr>
            </w:pPr>
            <w:r>
              <w:rPr>
                <w:rFonts w:hint="eastAsia" w:asciiTheme="minorEastAsia" w:hAnsiTheme="minorEastAsia"/>
                <w:sz w:val="24"/>
                <w:szCs w:val="24"/>
                <w:u w:val="single"/>
              </w:rPr>
              <w:t xml:space="preserve">    </w:t>
            </w:r>
            <w:r>
              <w:rPr>
                <w:rFonts w:hint="eastAsia" w:asciiTheme="minorEastAsia" w:hAnsiTheme="minorEastAsia"/>
                <w:sz w:val="24"/>
                <w:szCs w:val="24"/>
                <w:u w:val="single"/>
                <w:lang w:val="en-US" w:eastAsia="zh-CN"/>
              </w:rPr>
              <w:t xml:space="preserve"> </w:t>
            </w: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rPr>
              <w:t xml:space="preserve">%</w:t>
            </w:r>
            <w:r/>
          </w:p>
        </w:tc>
      </w:tr>
      <w:tr>
        <w:trPr>
          <w:cantSplit/>
          <w:trHeight w:val="886"/>
        </w:trPr>
        <w:tc>
          <w:tcPr>
            <w:tcW w:w="3191"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lang w:val="en-US" w:eastAsia="zh-CN"/>
              </w:rPr>
              <w:t xml:space="preserve">Y：</w:t>
            </w:r>
            <w:r>
              <w:rPr>
                <w:rFonts w:hint="eastAsia" w:asciiTheme="minorEastAsia" w:hAnsiTheme="minorEastAsia"/>
                <w:sz w:val="24"/>
                <w:szCs w:val="24"/>
              </w:rPr>
              <w:t xml:space="preserve">综合计算得数</w:t>
            </w:r>
            <w:r/>
          </w:p>
        </w:tc>
        <w:tc>
          <w:tcPr>
            <w:tcW w:w="6488" w:type="dxa"/>
            <w:vAlign w:val="center"/>
            <w:textDirection w:val="lrTb"/>
            <w:noWrap w:val="false"/>
          </w:tcPr>
          <w:p>
            <w:pPr>
              <w:jc w:val="center"/>
              <w:rPr>
                <w:rFonts w:asciiTheme="minorEastAsia" w:hAnsiTheme="minorEastAsia"/>
                <w:sz w:val="24"/>
                <w:szCs w:val="24"/>
                <w:u w:val="single"/>
              </w:rPr>
            </w:pPr>
            <w:r>
              <w:rPr>
                <w:rFonts w:asciiTheme="minorEastAsia" w:hAnsiTheme="minorEastAsia"/>
                <w:sz w:val="24"/>
                <w:szCs w:val="24"/>
                <w:u w:val="single"/>
              </w:rPr>
            </w:r>
            <w:r/>
          </w:p>
        </w:tc>
      </w:tr>
    </w:tbl>
    <w:p>
      <w:pPr>
        <w:ind w:firstLine="480"/>
        <w:rPr>
          <w:rFonts w:hint="eastAsia" w:ascii="仿宋" w:hAnsi="仿宋" w:eastAsia="仿宋"/>
          <w:sz w:val="24"/>
        </w:rPr>
      </w:pPr>
      <w:r>
        <w:rPr>
          <w:rFonts w:hint="eastAsia" w:ascii="仿宋" w:hAnsi="仿宋" w:eastAsia="仿宋"/>
          <w:sz w:val="24"/>
        </w:rPr>
      </w:r>
      <w:r/>
    </w:p>
    <w:p>
      <w:pPr>
        <w:ind w:left="6646" w:hanging="5928"/>
        <w:rPr>
          <w:rFonts w:ascii="仿宋" w:hAnsi="仿宋" w:eastAsia="仿宋"/>
          <w:sz w:val="24"/>
        </w:rPr>
      </w:pPr>
      <w:r>
        <w:rPr>
          <w:rFonts w:hint="eastAsia" w:ascii="仿宋" w:hAnsi="仿宋" w:eastAsia="仿宋"/>
          <w:sz w:val="24"/>
        </w:rPr>
        <w:t xml:space="preserve">       </w:t>
      </w:r>
      <w:r>
        <w:rPr>
          <w:rFonts w:ascii="仿宋" w:hAnsi="仿宋" w:eastAsia="仿宋"/>
          <w:sz w:val="24"/>
        </w:rPr>
        <w:t xml:space="preserve">        </w:t>
      </w:r>
      <w:r/>
    </w:p>
    <w:p>
      <w:pPr>
        <w:ind w:left="6646" w:hanging="5928"/>
        <w:rPr>
          <w:rFonts w:hint="eastAsia" w:ascii="仿宋" w:hAnsi="仿宋" w:eastAsia="仿宋"/>
          <w:sz w:val="24"/>
        </w:rPr>
      </w:pPr>
      <w:r>
        <w:rPr>
          <w:rFonts w:ascii="仿宋" w:hAnsi="仿宋" w:eastAsia="仿宋"/>
          <w:sz w:val="24"/>
        </w:rPr>
        <w:t xml:space="preserve">                     </w:t>
      </w:r>
      <w:r>
        <w:rPr>
          <w:rFonts w:hint="eastAsia" w:ascii="仿宋" w:hAnsi="仿宋" w:eastAsia="仿宋"/>
          <w:sz w:val="24"/>
          <w:lang w:val="en-US" w:eastAsia="zh-CN"/>
        </w:rPr>
        <w:t xml:space="preserve">                           </w:t>
      </w:r>
      <w:r>
        <w:rPr>
          <w:rFonts w:hint="eastAsia" w:ascii="宋体" w:hAnsi="宋体" w:eastAsia="宋体" w:cs="宋体"/>
          <w:sz w:val="24"/>
        </w:rPr>
        <w:t xml:space="preserve">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320" w:lineRule="exact"/>
        <w:shd w:val="clear" w:color="auto" w:fill="ffffff"/>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exact"/>
        <w:shd w:val="clear" w:color="auto" w:fill="ffffff"/>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p>
    <w:p>
      <w:pPr>
        <w:numPr>
          <w:ilvl w:val="0"/>
          <w:numId w:val="0"/>
        </w:numPr>
        <w:ind w:firstLine="420"/>
        <w:keepLines w:val="0"/>
        <w:keepNext w:val="0"/>
        <w:pageBreakBefore w:val="0"/>
        <w:spacing w:line="360" w:lineRule="exact"/>
        <w:shd w:val="clear" w:color="auto" w:fill="ffffff"/>
        <w:widowControl w:val="off"/>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1、工时单价限价：不高于10元/工时，材料进销差价率限价：不高于15%。</w:t>
      </w:r>
      <w:r/>
    </w:p>
    <w:p>
      <w:pPr>
        <w:numPr>
          <w:ilvl w:val="0"/>
          <w:numId w:val="0"/>
        </w:numPr>
        <w:ind w:firstLine="420"/>
        <w:keepLines w:val="0"/>
        <w:keepNext w:val="0"/>
        <w:pageBreakBefore w:val="0"/>
        <w:spacing w:line="360" w:lineRule="exact"/>
        <w:shd w:val="clear" w:color="auto" w:fill="ffffff"/>
        <w:widowControl w:val="off"/>
        <w:rPr>
          <w:rFonts w:hint="eastAsia" w:ascii="宋体" w:hAnsi="宋体" w:eastAsia="宋体" w:cs="宋体"/>
          <w:sz w:val="21"/>
          <w:szCs w:val="21"/>
          <w:lang w:val="en-US" w:bidi="ar-SA"/>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bidi="ar-SA"/>
        </w:rPr>
        <w:t xml:space="preserve">供应商报价的工时单价、材料进销差价率为必报项。所报工时单价和材料进销差价率应按市场价格及自身实际情况客观报价，报价价格均应大于零，如只报工时单价一项或只报材料进销差价率一项的视为该项报价为零报价，为未响应征集文件要求，按无效响应文件处理。供应商所报价格即为第一阶段入围后的协议价格也是征集人（或服务单位）确定第二阶段成交供应商的最高限价。</w:t>
      </w:r>
      <w:r/>
    </w:p>
    <w:p>
      <w:pPr>
        <w:numPr>
          <w:ilvl w:val="0"/>
          <w:numId w:val="0"/>
        </w:numPr>
        <w:ind w:firstLine="420"/>
        <w:keepLines w:val="0"/>
        <w:keepNext w:val="0"/>
        <w:pageBreakBefore w:val="0"/>
        <w:spacing w:line="360" w:lineRule="exact"/>
        <w:shd w:val="clear" w:color="auto" w:fill="ffffff"/>
        <w:widowControl w:val="off"/>
        <w:rPr>
          <w:rFonts w:hint="eastAsia" w:ascii="宋体" w:hAnsi="宋体" w:eastAsia="宋体" w:cs="宋体"/>
          <w:sz w:val="21"/>
          <w:szCs w:val="21"/>
        </w:rPr>
      </w:pP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bidi="ar-SA"/>
        </w:rPr>
        <w:t xml:space="preserve">为方便系统唱标与评审价计算，供应商应根据计算公式算出综合计算得数</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rPr>
        <w:t xml:space="preserve">综合计算得数即评审价Y计算公式为：Y=a×30%+b×70%。评审价中工时单价计算权重为</w:t>
      </w:r>
      <w:r>
        <w:rPr>
          <w:rFonts w:hint="eastAsia" w:ascii="宋体" w:hAnsi="宋体" w:eastAsia="宋体" w:cs="宋体"/>
          <w:b/>
          <w:bCs/>
          <w:sz w:val="21"/>
          <w:szCs w:val="21"/>
        </w:rPr>
        <w:t xml:space="preserve">30%</w:t>
      </w:r>
      <w:r>
        <w:rPr>
          <w:rFonts w:hint="eastAsia" w:ascii="宋体" w:hAnsi="宋体" w:eastAsia="宋体" w:cs="宋体"/>
          <w:sz w:val="21"/>
          <w:szCs w:val="21"/>
        </w:rPr>
        <w:t xml:space="preserve">，材料进销差价率计算权重为</w:t>
      </w:r>
      <w:r>
        <w:rPr>
          <w:rFonts w:hint="eastAsia" w:ascii="宋体" w:hAnsi="宋体" w:eastAsia="宋体" w:cs="宋体"/>
          <w:b/>
          <w:bCs/>
          <w:sz w:val="21"/>
          <w:szCs w:val="21"/>
        </w:rPr>
        <w:t xml:space="preserve">70%</w:t>
      </w:r>
      <w:r>
        <w:rPr>
          <w:rFonts w:hint="eastAsia" w:ascii="宋体" w:hAnsi="宋体" w:eastAsia="宋体" w:cs="宋体"/>
          <w:sz w:val="21"/>
          <w:szCs w:val="21"/>
        </w:rPr>
        <w:t xml:space="preserve">。综合计算后，得数（价格）低的供应商，排序在前。</w:t>
      </w:r>
      <w:r/>
    </w:p>
    <w:p>
      <w:pPr>
        <w:numPr>
          <w:ilvl w:val="255"/>
          <w:numId w:val="0"/>
        </w:numPr>
        <w:ind w:firstLine="480"/>
        <w:keepLines w:val="0"/>
        <w:keepNext w:val="0"/>
        <w:pageBreakBefore w:val="0"/>
        <w:spacing w:line="360" w:lineRule="exact"/>
        <w:shd w:val="clear" w:color="auto" w:fill="ffffff"/>
        <w:widowControl w:val="off"/>
        <w:rPr>
          <w:rFonts w:hint="eastAsia" w:ascii="宋体" w:hAnsi="宋体" w:eastAsia="宋体" w:cs="宋体"/>
          <w:sz w:val="21"/>
          <w:szCs w:val="21"/>
        </w:rPr>
      </w:pPr>
      <w:r>
        <w:rPr>
          <w:rFonts w:hint="eastAsia" w:ascii="宋体" w:hAnsi="宋体" w:eastAsia="宋体" w:cs="宋体"/>
          <w:sz w:val="21"/>
          <w:szCs w:val="21"/>
        </w:rPr>
        <w:t xml:space="preserve">例：如</w:t>
      </w:r>
      <w:r>
        <w:rPr>
          <w:rFonts w:hint="eastAsia" w:ascii="宋体" w:hAnsi="宋体" w:cs="宋体"/>
          <w:sz w:val="21"/>
          <w:szCs w:val="21"/>
          <w:lang w:val="en-US" w:eastAsia="zh-CN"/>
        </w:rPr>
        <w:t xml:space="preserve">供应商</w:t>
      </w:r>
      <w:r>
        <w:rPr>
          <w:rFonts w:hint="eastAsia" w:ascii="宋体" w:hAnsi="宋体" w:eastAsia="宋体" w:cs="宋体"/>
          <w:sz w:val="21"/>
          <w:szCs w:val="21"/>
          <w:lang w:val="en-US" w:bidi="ar-SA"/>
        </w:rPr>
        <w:t xml:space="preserve">所报</w:t>
      </w:r>
      <w:r>
        <w:rPr>
          <w:rFonts w:hint="eastAsia" w:ascii="宋体" w:hAnsi="宋体" w:eastAsia="宋体" w:cs="宋体"/>
          <w:sz w:val="21"/>
          <w:szCs w:val="21"/>
        </w:rPr>
        <w:t xml:space="preserve">工时单价</w:t>
      </w:r>
      <w:r>
        <w:rPr>
          <w:rFonts w:hint="eastAsia" w:ascii="宋体" w:hAnsi="宋体" w:cs="宋体"/>
          <w:sz w:val="21"/>
          <w:szCs w:val="21"/>
          <w:lang w:val="en-US" w:eastAsia="zh-CN"/>
        </w:rPr>
        <w:t xml:space="preserve">为7</w:t>
      </w:r>
      <w:r>
        <w:rPr>
          <w:rFonts w:hint="eastAsia" w:ascii="宋体" w:hAnsi="宋体" w:eastAsia="宋体" w:cs="宋体"/>
          <w:sz w:val="21"/>
          <w:szCs w:val="21"/>
        </w:rPr>
        <w:t xml:space="preserve">元/工时</w:t>
      </w:r>
      <w:r>
        <w:rPr>
          <w:rFonts w:hint="eastAsia" w:ascii="宋体" w:hAnsi="宋体" w:cs="宋体"/>
          <w:sz w:val="21"/>
          <w:szCs w:val="21"/>
          <w:lang w:eastAsia="zh-CN"/>
        </w:rPr>
        <w:t xml:space="preserve">，</w:t>
      </w:r>
      <w:r>
        <w:rPr>
          <w:rFonts w:hint="eastAsia" w:ascii="宋体" w:hAnsi="宋体" w:eastAsia="宋体" w:cs="宋体"/>
          <w:sz w:val="21"/>
          <w:szCs w:val="21"/>
        </w:rPr>
        <w:t xml:space="preserve">除以</w:t>
      </w:r>
      <w:r>
        <w:rPr>
          <w:rFonts w:hint="eastAsia" w:ascii="宋体" w:hAnsi="宋体" w:eastAsia="宋体" w:cs="宋体"/>
          <w:sz w:val="21"/>
          <w:szCs w:val="21"/>
          <w:lang w:eastAsia="zh-CN"/>
        </w:rPr>
        <w:t xml:space="preserve">工时单价</w:t>
      </w:r>
      <w:r>
        <w:rPr>
          <w:rFonts w:hint="eastAsia" w:ascii="宋体" w:hAnsi="宋体" w:eastAsia="宋体" w:cs="宋体"/>
          <w:sz w:val="21"/>
          <w:szCs w:val="21"/>
        </w:rPr>
        <w:t xml:space="preserve">最高限价</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元/工时的数值为70%，则a为70；如</w:t>
      </w:r>
      <w:r>
        <w:rPr>
          <w:rFonts w:hint="eastAsia" w:ascii="宋体" w:hAnsi="宋体" w:cs="宋体"/>
          <w:sz w:val="21"/>
          <w:szCs w:val="21"/>
          <w:lang w:val="en-US" w:eastAsia="zh-CN"/>
        </w:rPr>
        <w:t xml:space="preserve">供应商</w:t>
      </w:r>
      <w:r>
        <w:rPr>
          <w:rFonts w:hint="eastAsia" w:ascii="宋体" w:hAnsi="宋体" w:eastAsia="宋体" w:cs="宋体"/>
          <w:sz w:val="21"/>
          <w:szCs w:val="21"/>
          <w:lang w:val="en-US" w:bidi="ar-SA"/>
        </w:rPr>
        <w:t xml:space="preserve">所报</w:t>
      </w:r>
      <w:r>
        <w:rPr>
          <w:rFonts w:hint="eastAsia" w:ascii="宋体" w:hAnsi="宋体" w:eastAsia="宋体" w:cs="宋体"/>
          <w:sz w:val="21"/>
          <w:szCs w:val="21"/>
        </w:rPr>
        <w:t xml:space="preserve">材料进销差价率为20%，则b为20。该评审价即Y=70×30%+20×70%=35</w:t>
      </w:r>
      <w:r>
        <w:rPr>
          <w:rFonts w:hint="eastAsia" w:ascii="宋体" w:hAnsi="宋体" w:cs="宋体"/>
          <w:sz w:val="21"/>
          <w:szCs w:val="21"/>
          <w:lang w:eastAsia="zh-CN"/>
        </w:rPr>
        <w:t xml:space="preserve">，“苏采云”系统内填报报价时，填写“</w:t>
      </w:r>
      <w:r>
        <w:rPr>
          <w:rFonts w:hint="eastAsia" w:ascii="宋体" w:hAnsi="宋体" w:cs="宋体"/>
          <w:sz w:val="21"/>
          <w:szCs w:val="21"/>
          <w:lang w:val="en-US" w:eastAsia="zh-CN"/>
        </w:rPr>
        <w:t xml:space="preserve">35</w:t>
      </w:r>
      <w:r>
        <w:rPr>
          <w:rFonts w:hint="eastAsia" w:ascii="宋体" w:hAnsi="宋体" w:cs="宋体"/>
          <w:sz w:val="21"/>
          <w:szCs w:val="21"/>
          <w:lang w:eastAsia="zh-CN"/>
        </w:rPr>
        <w:t xml:space="preserve">”</w:t>
      </w:r>
      <w:r/>
    </w:p>
    <w:p>
      <w:pPr>
        <w:ind w:firstLine="420"/>
        <w:keepLines w:val="0"/>
        <w:keepNext w:val="0"/>
        <w:pageBreakBefore w:val="0"/>
        <w:spacing w:line="360" w:lineRule="exact"/>
        <w:widowControl w:val="off"/>
        <w:rPr>
          <w:rFonts w:hint="eastAsia" w:ascii="宋体" w:hAnsi="宋体" w:eastAsia="宋体" w:cs="宋体"/>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供应商的报价最多精确到小数点后两位，评审价精确到小数点后两位（四舍五入）。</w:t>
      </w:r>
      <w:r/>
    </w:p>
    <w:p>
      <w:pPr>
        <w:pStyle w:val="921"/>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lang w:eastAsia="zh-CN"/>
        </w:rPr>
        <w:t xml:space="preserve">5、</w:t>
      </w:r>
      <w:r>
        <w:rPr>
          <w:rFonts w:hint="eastAsia" w:ascii="宋体" w:hAnsi="宋体" w:eastAsia="宋体" w:cs="宋体"/>
          <w:b w:val="0"/>
          <w:bCs w:val="0"/>
          <w:sz w:val="21"/>
          <w:szCs w:val="21"/>
        </w:rPr>
        <w:t xml:space="preserve">评审过程中若出现供应商评审价相同，使淘汰率不足20%时，采取以下规则：</w:t>
      </w:r>
      <w:r/>
    </w:p>
    <w:p>
      <w:pPr>
        <w:pStyle w:val="921"/>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综合计算得数相同的供应商推荐入围排序规则：</w:t>
      </w:r>
      <w:r/>
    </w:p>
    <w:p>
      <w:pPr>
        <w:pStyle w:val="921"/>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①供应商报价综合计算得数相同的，按供应商资质类别排序，一类优先于二类入围；</w:t>
      </w:r>
      <w:r/>
    </w:p>
    <w:p>
      <w:pPr>
        <w:pStyle w:val="921"/>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②供应商综合计算得数相同，资质类别也相同的由评审小组通过现场抽签确定供应商排名顺序。</w:t>
      </w:r>
      <w:r/>
    </w:p>
    <w:p>
      <w:pPr>
        <w:pStyle w:val="921"/>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pStyle w:val="921"/>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pStyle w:val="921"/>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pStyle w:val="763"/>
        <w:ind w:left="0" w:firstLine="0"/>
        <w:jc w:val="center"/>
        <w:widowControl/>
        <w:rPr>
          <w:rFonts w:hint="eastAsia" w:ascii="黑体" w:eastAsia="黑体"/>
          <w:sz w:val="28"/>
          <w:highlight w:val="none"/>
        </w:rPr>
      </w:pPr>
      <w:r>
        <w:rPr>
          <w:rFonts w:hint="eastAsia" w:ascii="黑体" w:hAnsi="Calibri" w:eastAsia="黑体" w:cs="Times New Roman"/>
          <w:b/>
          <w:bCs/>
          <w:sz w:val="32"/>
          <w:szCs w:val="32"/>
          <w:highlight w:val="none"/>
          <w:lang w:val="en-US" w:eastAsia="zh-CN"/>
        </w:rPr>
        <w:t xml:space="preserve">十、法人授权</w:t>
      </w:r>
      <w:r>
        <w:rPr>
          <w:rFonts w:hint="eastAsia" w:ascii="黑体" w:eastAsia="黑体"/>
          <w:b/>
          <w:bCs/>
          <w:sz w:val="32"/>
          <w:szCs w:val="32"/>
          <w:highlight w:val="none"/>
        </w:rPr>
        <w:t xml:space="preserve">书</w:t>
      </w:r>
      <w:r/>
    </w:p>
    <w:p>
      <w:pPr>
        <w:jc w:val="center"/>
        <w:spacing w:line="400" w:lineRule="exact"/>
        <w:rPr>
          <w:rFonts w:hint="eastAsia" w:ascii="黑体" w:eastAsia="黑体"/>
          <w:b/>
          <w:sz w:val="28"/>
          <w:highlight w:val="none"/>
        </w:rPr>
      </w:pPr>
      <w:r>
        <w:rPr>
          <w:rFonts w:hint="eastAsia" w:ascii="黑体" w:eastAsia="黑体"/>
          <w:b/>
          <w:sz w:val="28"/>
          <w:highlight w:val="none"/>
        </w:rPr>
      </w:r>
      <w:r/>
    </w:p>
    <w:p>
      <w:pPr>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lang w:eastAsia="zh-CN"/>
        </w:rPr>
        <w:t xml:space="preserve">JSZC-320981-JZCG-K2025-0029</w:t>
      </w:r>
      <w:r>
        <w:rPr>
          <w:rFonts w:hint="eastAsia" w:ascii="宋体" w:hAnsi="宋体" w:eastAsia="宋体" w:cs="宋体"/>
          <w:color w:val="000000"/>
          <w:sz w:val="24"/>
          <w:szCs w:val="24"/>
        </w:rPr>
        <w:t xml:space="preserve">号项目框架协议采购活动的合法代理人，以本单位名义全权处理一切与该项目采购有关的事务。</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60"/>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p>
    <w:p>
      <w:pPr>
        <w:pStyle w:val="760"/>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60"/>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760"/>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60"/>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p>
    <w:p>
      <w:pPr>
        <w:ind w:firstLine="1050"/>
        <w:keepLines w:val="0"/>
        <w:keepNext w:val="0"/>
        <w:pageBreakBefore w:val="0"/>
        <w:spacing w:line="600" w:lineRule="exact"/>
        <w:widowControl w:val="off"/>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p>
    <w:p>
      <w:pPr>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38"/>
        <w:ind w:firstLine="964"/>
        <w:keepLines w:val="0"/>
        <w:keepNext w:val="0"/>
        <w:pageBreakBefore w:val="0"/>
        <w:spacing w:line="700" w:lineRule="exact"/>
        <w:widowControl w:val="off"/>
        <w:rPr>
          <w:rFonts w:hint="eastAsia"/>
          <w:color w:val="000000" w:themeColor="text1"/>
          <w:highlight w:val="none"/>
          <w14:textFill>
            <w14:solidFill>
              <w14:schemeClr w14:val="tx1"/>
            </w14:solidFill>
          </w14:textFill>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p>
    <w:p>
      <w:pPr>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440" w:lineRule="exact"/>
        <w:rPr>
          <w:rFonts w:ascii="黑体" w:hAnsi="黑体" w:eastAsia="黑体" w:cs="Times New Roman"/>
          <w:bCs w:val="0"/>
          <w:i/>
          <w:color w:val="000000" w:themeColor="text1"/>
          <w:sz w:val="32"/>
          <w:szCs w:val="32"/>
          <w:highlight w:val="none"/>
          <w:u w:val="single"/>
          <w14:textFill>
            <w14:solidFill>
              <w14:schemeClr w14:val="tx1"/>
            </w14:solidFill>
          </w14:textFill>
        </w:rPr>
      </w:pPr>
      <w:r>
        <w:rPr>
          <w:rFonts w:ascii="宋体" w:hAnsi="宋体"/>
          <w:bCs w:val="0"/>
          <w:color w:val="000000" w:themeColor="text1"/>
          <w:sz w:val="24"/>
          <w:highlight w:val="none"/>
          <w14:textFill>
            <w14:solidFill>
              <w14:schemeClr w14:val="tx1"/>
            </w14:solidFill>
          </w14:textFill>
        </w:rPr>
        <w:br w:type="page" w:clear="all"/>
      </w:r>
      <w:r>
        <w:rPr>
          <w:rFonts w:hint="eastAsia" w:ascii="黑体" w:hAnsi="Calibri" w:eastAsia="黑体" w:cs="Times New Roman"/>
          <w:b/>
          <w:bCs/>
          <w:sz w:val="32"/>
          <w:szCs w:val="32"/>
          <w:highlight w:val="none"/>
          <w:lang w:val="en-US" w:eastAsia="zh-CN" w:bidi="ar-SA"/>
        </w:rPr>
        <w:t xml:space="preserve">十一、响应函</w:t>
      </w:r>
      <w:r/>
    </w:p>
    <w:p>
      <w:pPr>
        <w:pStyle w:val="921"/>
        <w:ind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东台市机关事务服务中心</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lang w:eastAsia="zh-CN"/>
          <w14:textFill>
            <w14:solidFill>
              <w14:schemeClr w14:val="tx1"/>
            </w14:solidFill>
          </w14:textFill>
        </w:rPr>
        <w:t xml:space="preserve">JSZC-320981-JZCG-K2025-0029</w:t>
      </w:r>
      <w:r>
        <w:rPr>
          <w:rFonts w:hint="eastAsia" w:ascii="宋体" w:hAnsi="宋体"/>
          <w:color w:val="000000" w:themeColor="text1"/>
          <w:szCs w:val="21"/>
          <w:highlight w:val="none"/>
          <w14:textFill>
            <w14:solidFill>
              <w14:schemeClr w14:val="tx1"/>
            </w14:solidFill>
          </w14:textFill>
        </w:rPr>
        <w:t xml:space="preserve">号框架协议</w:t>
      </w:r>
      <w:r>
        <w:rPr>
          <w:rFonts w:ascii="宋体" w:hAnsi="宋体"/>
          <w:color w:val="000000" w:themeColor="text1"/>
          <w:szCs w:val="21"/>
          <w:highlight w:val="none"/>
          <w14:textFill>
            <w14:solidFill>
              <w14:schemeClr w14:val="tx1"/>
            </w14:solidFill>
          </w14:textFill>
        </w:rPr>
        <w:t xml:space="preserve">采购征集</w:t>
      </w:r>
      <w:r>
        <w:rPr>
          <w:rFonts w:hint="eastAsia" w:ascii="宋体" w:hAnsi="宋体"/>
          <w:color w:val="000000" w:themeColor="text1"/>
          <w:szCs w:val="21"/>
          <w:highlight w:val="none"/>
          <w14:textFill>
            <w14:solidFill>
              <w14:schemeClr w14:val="tx1"/>
            </w14:solidFill>
          </w14:textFill>
        </w:rPr>
        <w:t xml:space="preserve">文件，正式授权下述签字人_________________(姓名)代表我方______________（供应商的名称），全权处理本次项目的有关事宜。</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文件规定的各项要求，向采购人提供所需货物与服务。</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2.我们完全理解采购人不一定将采购合同授予协议价格</w:t>
      </w:r>
      <w:r>
        <w:rPr>
          <w:rFonts w:ascii="宋体" w:hAnsi="宋体"/>
          <w:color w:val="000000" w:themeColor="text1"/>
          <w:szCs w:val="21"/>
          <w:highlight w:val="none"/>
          <w14:textFill>
            <w14:solidFill>
              <w14:schemeClr w14:val="tx1"/>
            </w14:solidFill>
          </w14:textFill>
        </w:rPr>
        <w:t xml:space="preserve">最低</w:t>
      </w:r>
      <w:r>
        <w:rPr>
          <w:rFonts w:hint="eastAsia" w:ascii="宋体" w:hAnsi="宋体"/>
          <w:color w:val="000000" w:themeColor="text1"/>
          <w:szCs w:val="21"/>
          <w:highlight w:val="none"/>
          <w14:textFill>
            <w14:solidFill>
              <w14:schemeClr w14:val="tx1"/>
            </w14:solidFill>
          </w14:textFill>
        </w:rPr>
        <w:t xml:space="preserve">的供应商。</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文件及其有效补充文件，我们知道必须放弃提出含糊不清或误解问题的权利。</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4.我们同意从规定的响应</w:t>
      </w:r>
      <w:r>
        <w:rPr>
          <w:rFonts w:ascii="宋体" w:hAnsi="宋体"/>
          <w:color w:val="000000" w:themeColor="text1"/>
          <w:szCs w:val="21"/>
          <w:highlight w:val="none"/>
          <w14:textFill>
            <w14:solidFill>
              <w14:schemeClr w14:val="tx1"/>
            </w14:solidFill>
          </w14:textFill>
        </w:rPr>
        <w:t xml:space="preserve">文件开启</w:t>
      </w:r>
      <w:r>
        <w:rPr>
          <w:rFonts w:hint="eastAsia" w:ascii="宋体" w:hAnsi="宋体"/>
          <w:color w:val="000000" w:themeColor="text1"/>
          <w:szCs w:val="21"/>
          <w:highlight w:val="none"/>
          <w14:textFill>
            <w14:solidFill>
              <w14:schemeClr w14:val="tx1"/>
            </w14:solidFill>
          </w14:textFill>
        </w:rPr>
        <w:t xml:space="preserve">日期起遵循本响应文件，并在规定的响应文件有效期期满之前均具有约束力。</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.同意向贵方提供贵方可能另外要求的与本次采购</w:t>
      </w:r>
      <w:r>
        <w:rPr>
          <w:rFonts w:ascii="宋体" w:hAnsi="宋体"/>
          <w:color w:val="000000" w:themeColor="text1"/>
          <w:szCs w:val="21"/>
          <w:highlight w:val="none"/>
          <w14:textFill>
            <w14:solidFill>
              <w14:schemeClr w14:val="tx1"/>
            </w14:solidFill>
          </w14:textFill>
        </w:rPr>
        <w:t xml:space="preserve">活动</w:t>
      </w:r>
      <w:r>
        <w:rPr>
          <w:rFonts w:hint="eastAsia" w:ascii="宋体" w:hAnsi="宋体"/>
          <w:color w:val="000000" w:themeColor="text1"/>
          <w:szCs w:val="21"/>
          <w:highlight w:val="none"/>
          <w14:textFill>
            <w14:solidFill>
              <w14:schemeClr w14:val="tx1"/>
            </w14:solidFill>
          </w14:textFill>
        </w:rPr>
        <w:t xml:space="preserve">有关的任何证据或资料，并保证我方已提供和将要提供的文件是真实的、准确的。</w:t>
      </w:r>
      <w:r/>
    </w:p>
    <w:p>
      <w:pPr>
        <w:pStyle w:val="921"/>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.一旦我方成为入围</w:t>
      </w:r>
      <w:r>
        <w:rPr>
          <w:rFonts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,我方将根据征集文件的规定，严格履行合同的责任和义务,并保证在征集文件规定的时间完成项目，交付采购人验收、使用。</w:t>
      </w:r>
      <w:r/>
    </w:p>
    <w:p>
      <w:pPr>
        <w:pStyle w:val="921"/>
        <w:ind w:left="425" w:firstLine="0"/>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.与本次</w:t>
      </w:r>
      <w:r>
        <w:rPr>
          <w:rFonts w:ascii="宋体" w:hAnsi="宋体"/>
          <w:color w:val="000000" w:themeColor="text1"/>
          <w:szCs w:val="21"/>
          <w:highlight w:val="none"/>
          <w14:textFill>
            <w14:solidFill>
              <w14:schemeClr w14:val="tx1"/>
            </w14:solidFill>
          </w14:textFill>
        </w:rPr>
        <w:t xml:space="preserve">采购活动</w:t>
      </w:r>
      <w:r>
        <w:rPr>
          <w:rFonts w:hint="eastAsia" w:ascii="宋体" w:hAnsi="宋体"/>
          <w:color w:val="000000" w:themeColor="text1"/>
          <w:szCs w:val="21"/>
          <w:highlight w:val="none"/>
          <w14:textFill>
            <w14:solidFill>
              <w14:schemeClr w14:val="tx1"/>
            </w14:solidFill>
          </w14:textFill>
        </w:rPr>
        <w:t xml:space="preserve">有关的正式通讯地址为：</w:t>
      </w:r>
      <w:r/>
    </w:p>
    <w:p>
      <w:pPr>
        <w:pStyle w:val="921"/>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21"/>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21"/>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21"/>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21"/>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供应商开户行：</w:t>
      </w:r>
      <w:r/>
    </w:p>
    <w:p>
      <w:pPr>
        <w:pStyle w:val="921"/>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21"/>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both"/>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769"/>
        <w:rPr>
          <w:rFonts w:hint="eastAsia"/>
          <w:highlight w:val="none"/>
        </w:rPr>
      </w:pPr>
      <w:r>
        <w:rPr>
          <w:rFonts w:hint="eastAsia"/>
          <w:highlight w:val="none"/>
        </w:rPr>
      </w:r>
      <w:r/>
    </w:p>
    <w:p>
      <w:pPr>
        <w:pStyle w:val="760"/>
        <w:ind w:firstLine="240"/>
        <w:jc w:val="center"/>
        <w:spacing w:beforeAutospacing="0" w:afterAutospacing="0" w:line="0" w:lineRule="atLeast"/>
        <w:rPr>
          <w:rFonts w:hint="eastAsia" w:ascii="黑体" w:eastAsia="黑体" w:cs="黑体"/>
          <w:b/>
          <w:color w:val="000000"/>
          <w:sz w:val="32"/>
          <w:szCs w:val="32"/>
        </w:rPr>
      </w:pPr>
      <w:r>
        <w:rPr>
          <w:rFonts w:hint="eastAsia" w:ascii="黑体" w:eastAsia="黑体" w:cs="黑体"/>
          <w:b/>
          <w:color w:val="000000"/>
          <w:sz w:val="32"/>
          <w:szCs w:val="32"/>
        </w:rPr>
      </w:r>
      <w:r/>
    </w:p>
    <w:p>
      <w:pPr>
        <w:pStyle w:val="760"/>
        <w:ind w:firstLine="240"/>
        <w:jc w:val="center"/>
        <w:spacing w:beforeAutospacing="0" w:afterAutospacing="0" w:line="0" w:lineRule="atLeast"/>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十二、中小企业声明函</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号）的规定，本公司参加东台市机关事务服务中心组织的采购编号为</w:t>
      </w:r>
      <w:r>
        <w:rPr>
          <w:rFonts w:hint="eastAsia"/>
          <w:color w:val="auto"/>
          <w:sz w:val="24"/>
          <w:highlight w:val="none"/>
          <w:u w:val="single"/>
          <w:lang w:val="en-US" w:eastAsia="zh-CN"/>
        </w:rPr>
        <w:t xml:space="preserve">JSZC-320981-JZCG-K2025-0029</w:t>
      </w:r>
      <w:r>
        <w:rPr>
          <w:rFonts w:hint="eastAsia"/>
          <w:color w:val="auto"/>
          <w:sz w:val="24"/>
          <w:highlight w:val="none"/>
          <w:lang w:val="en-US" w:eastAsia="zh-CN"/>
        </w:rPr>
        <w:t xml:space="preserve">的</w:t>
      </w:r>
      <w:r>
        <w:rPr>
          <w:rFonts w:hint="eastAsia"/>
          <w:i w:val="0"/>
          <w:iCs w:val="0"/>
          <w:color w:val="auto"/>
          <w:sz w:val="24"/>
          <w:highlight w:val="none"/>
          <w:u w:val="single"/>
        </w:rPr>
        <w:t xml:space="preserve">2026-2027年度东台市党政机关、事业单位和团体组织公务用车维修和保养服务框架协议采购项目</w:t>
      </w:r>
      <w:r>
        <w:rPr>
          <w:rFonts w:hint="eastAsia"/>
          <w:color w:val="auto"/>
          <w:sz w:val="24"/>
          <w:highlight w:val="none"/>
        </w:rPr>
        <w:t xml:space="preserve">的封闭式框架协议采购活动，服务全部由符合政策要求的中小企业承接。相关企业（含联合体中的中小企业、签订分包意向协议的中小企业）的具体情况如下：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60"/>
        <w:ind w:right="720"/>
        <w:jc w:val="both"/>
        <w:spacing w:beforeAutospacing="0" w:afterAutospacing="0" w:line="0" w:lineRule="atLeast"/>
        <w:rPr>
          <w:color w:val="auto"/>
          <w:highlight w:val="none"/>
        </w:rPr>
      </w:pPr>
      <w:r>
        <w:rPr>
          <w:color w:val="auto"/>
          <w:highlight w:val="none"/>
        </w:rPr>
        <w:t xml:space="preserve"> </w:t>
      </w:r>
      <w:r/>
    </w:p>
    <w:p>
      <w:pPr>
        <w:pStyle w:val="76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60"/>
        <w:ind w:right="480" w:firstLine="6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ind w:right="480" w:firstLine="624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备注1：从业人员、营业收入、资产总额填报上一年度数据，无上一年度数据的新成立企业可不填报。</w:t>
      </w:r>
      <w:r/>
    </w:p>
    <w:p>
      <w:pPr>
        <w:pStyle w:val="760"/>
        <w:ind w:firstLine="480"/>
        <w:keepLines w:val="0"/>
        <w:keepNext w:val="0"/>
        <w:pageBreakBefore w:val="0"/>
        <w:spacing w:beforeAutospacing="0" w:afterAutospacing="0" w:line="42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eastAsia="宋体" w:cs="宋体"/>
          <w:color w:val="000000"/>
        </w:rPr>
        <w:t xml:space="preserve">备注2：供应商如不提供此声明函，价格将不做相应扣除</w:t>
      </w:r>
      <w:r>
        <w:rPr>
          <w:rFonts w:hint="eastAsia" w:ascii="宋体" w:hAnsi="宋体" w:eastAsia="宋体" w:cs="宋体"/>
          <w:color w:val="auto"/>
          <w:highlight w:val="none"/>
        </w:rPr>
        <w:t xml:space="preserve">。</w:t>
      </w:r>
      <w:r/>
    </w:p>
    <w:p>
      <w:pPr>
        <w:ind w:firstLine="643"/>
        <w:jc w:val="both"/>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pStyle w:val="760"/>
        <w:ind w:firstLine="240"/>
        <w:jc w:val="center"/>
        <w:spacing w:beforeAutospacing="0" w:afterAutospacing="0" w:line="0" w:lineRule="atLeast"/>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十三、残疾人福利性单位声明函（如有）</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141号）的规定，本单位为符合条件的残疾人福利性单位，且本单位参加东台市机关事务服务中心的采购文件编号为______的______项目封闭式框架协议采购活动由本单位提供服务。</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本单位对上述声明的真实性负责。如有虚假，将依法承担相应责任。</w:t>
      </w:r>
      <w:r/>
    </w:p>
    <w:p>
      <w:pPr>
        <w:pStyle w:val="760"/>
        <w:ind w:firstLine="480"/>
        <w:spacing w:beforeAutospacing="0" w:afterAutospacing="0" w:line="0" w:lineRule="atLeast"/>
        <w:rPr>
          <w:rFonts w:hint="eastAsia"/>
        </w:rPr>
      </w:pPr>
      <w:r>
        <w:t xml:space="preserve"> </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备注：1、供应商如不提供此声明函，价格将不做相应扣除。</w:t>
      </w:r>
      <w:r/>
    </w:p>
    <w:p>
      <w:pPr>
        <w:pStyle w:val="760"/>
        <w:ind w:firstLine="480"/>
        <w:keepLines w:val="0"/>
        <w:keepNext w:val="0"/>
        <w:pageBreakBefore w:val="0"/>
        <w:spacing w:beforeAutospacing="0" w:afterAutospacing="0" w:line="420" w:lineRule="exact"/>
        <w:widowControl w:val="off"/>
        <w:rPr>
          <w:rFonts w:hint="eastAsia" w:eastAsia="宋体" w:cs="宋体"/>
          <w:color w:val="000000"/>
          <w:lang w:eastAsia="zh-CN"/>
        </w:rPr>
      </w:pPr>
      <w:r>
        <w:rPr>
          <w:rFonts w:hint="eastAsia" w:eastAsia="宋体" w:cs="宋体"/>
          <w:color w:val="000000"/>
        </w:rPr>
        <w:t xml:space="preserve">2、入围供应商为残疾人福利单位的，此声明函将随中标结果同时公告，接受社会监督</w:t>
      </w:r>
      <w:r>
        <w:rPr>
          <w:rFonts w:hint="eastAsia" w:cs="宋体"/>
          <w:color w:val="000000"/>
          <w:lang w:eastAsia="zh-CN"/>
        </w:rPr>
        <w:t xml:space="preserve">。</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760"/>
        <w:ind w:firstLine="432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供应商全称（加盖CA电子公章）：</w:t>
      </w:r>
      <w:r/>
    </w:p>
    <w:p>
      <w:pPr>
        <w:pStyle w:val="760"/>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rPr>
          <w:rFonts w:hint="eastAsia" w:cs="宋体"/>
          <w:color w:val="000000"/>
          <w:lang w:val="en-US" w:eastAsia="zh-CN"/>
        </w:rPr>
        <w:t xml:space="preserve">                                                    </w:t>
      </w:r>
      <w:r>
        <w:rPr>
          <w:rFonts w:hint="eastAsia" w:eastAsia="宋体" w:cs="宋体"/>
          <w:color w:val="000000"/>
        </w:rPr>
        <w:t xml:space="preserve">日  期：</w:t>
      </w:r>
      <w:r/>
    </w:p>
    <w:p>
      <w:pPr>
        <w:pStyle w:val="730"/>
        <w:jc w:val="center"/>
        <w:shd w:val="clear" w:color="auto" w:fill="auto"/>
        <w:rPr>
          <w:rFonts w:hint="eastAsia" w:ascii="宋体" w:hAnsi="宋体"/>
          <w:color w:val="000000"/>
          <w:highlight w:val="none"/>
        </w:rPr>
      </w:pPr>
      <w:r>
        <w:rPr>
          <w:rFonts w:hint="eastAsia" w:ascii="宋体" w:hAnsi="宋体"/>
          <w:color w:val="000000"/>
          <w:highlight w:val="none"/>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spacing w:line="460" w:lineRule="exact"/>
        <w:rPr>
          <w:rFonts w:hint="eastAsia" w:ascii="宋体" w:hAnsi="宋体"/>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000000" w:themeColor="text1"/>
          <w:sz w:val="24"/>
          <w:highlight w:val="none"/>
          <w14:textFill>
            <w14:solidFill>
              <w14:schemeClr w14:val="tx1"/>
            </w14:solidFill>
          </w14:textFill>
        </w:rPr>
      </w:r>
      <w:bookmarkEnd w:id="243"/>
      <w:r/>
    </w:p>
    <w:p>
      <w:pPr>
        <w:pStyle w:val="760"/>
        <w:jc w:val="center"/>
        <w:spacing w:beforeAutospacing="0" w:afterAutospacing="0" w:line="0" w:lineRule="atLeast"/>
        <w:rPr>
          <w:rFonts w:hint="eastAsia" w:ascii="黑体" w:hAnsi="黑体" w:eastAsia="黑体"/>
          <w:iCs/>
          <w:sz w:val="32"/>
          <w:szCs w:val="32"/>
        </w:rPr>
      </w:pPr>
      <w:r>
        <w:rPr>
          <w:rFonts w:hint="eastAsia" w:ascii="黑体" w:hAnsi="Calibri" w:eastAsia="黑体" w:cs="Times New Roman"/>
          <w:b/>
          <w:bCs/>
          <w:sz w:val="32"/>
          <w:szCs w:val="32"/>
          <w:highlight w:val="none"/>
          <w:lang w:val="en-US" w:eastAsia="zh-CN" w:bidi="ar-SA"/>
        </w:rPr>
        <w:t xml:space="preserve">十四、供应商情况一览表</w:t>
      </w:r>
      <w:r/>
    </w:p>
    <w:p>
      <w:pPr>
        <w:pStyle w:val="760"/>
        <w:jc w:val="center"/>
        <w:spacing w:beforeAutospacing="0" w:afterAutospacing="0" w:line="0" w:lineRule="atLeast"/>
        <w:rPr>
          <w:rFonts w:hint="eastAsia" w:ascii="黑体" w:hAnsi="黑体" w:eastAsia="黑体"/>
          <w:iCs/>
          <w:sz w:val="32"/>
          <w:szCs w:val="32"/>
        </w:rPr>
      </w:pPr>
      <w:r>
        <w:rPr>
          <w:rFonts w:hint="eastAsia" w:ascii="黑体" w:hAnsi="黑体" w:eastAsia="黑体"/>
          <w:iCs/>
          <w:sz w:val="32"/>
          <w:szCs w:val="32"/>
        </w:rPr>
      </w:r>
      <w:r/>
    </w:p>
    <w:tbl>
      <w:tblPr>
        <w:tblStyle w:val="737"/>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1463"/>
        <w:gridCol w:w="893"/>
        <w:gridCol w:w="626"/>
        <w:gridCol w:w="599"/>
        <w:gridCol w:w="870"/>
        <w:gridCol w:w="84"/>
        <w:gridCol w:w="657"/>
        <w:gridCol w:w="987"/>
        <w:gridCol w:w="1440"/>
      </w:tblGrid>
      <w:tr>
        <w:trPr>
          <w:jc w:val="center"/>
          <w:trHeight w:val="605"/>
        </w:trPr>
        <w:tc>
          <w:tcPr>
            <w:tcW w:w="2518"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供应商名称（全称）</w:t>
            </w:r>
            <w:r/>
          </w:p>
        </w:tc>
        <w:tc>
          <w:tcPr>
            <w:gridSpan w:val="9"/>
            <w:tcW w:w="7619" w:type="dxa"/>
            <w:vAlign w:val="top"/>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2518" w:type="dxa"/>
            <w:vAlign w:val="center"/>
            <w:textDirection w:val="lrTb"/>
            <w:noWrap w:val="false"/>
          </w:tcPr>
          <w:p>
            <w:pPr>
              <w:jc w:val="center"/>
              <w:spacing w:line="400" w:lineRule="exact"/>
              <w:rPr>
                <w:rFonts w:hint="eastAsia" w:ascii="宋体" w:hAnsi="宋体"/>
                <w:b/>
                <w:bCs/>
                <w:sz w:val="24"/>
              </w:rPr>
            </w:pPr>
            <w:r>
              <w:rPr>
                <w:rFonts w:hint="eastAsia" w:ascii="宋体" w:hAnsi="宋体"/>
                <w:bCs/>
                <w:sz w:val="24"/>
              </w:rPr>
              <w:t xml:space="preserve">经营场所地址</w:t>
            </w:r>
            <w:r/>
          </w:p>
        </w:tc>
        <w:tc>
          <w:tcPr>
            <w:gridSpan w:val="9"/>
            <w:tcW w:w="7619" w:type="dxa"/>
            <w:vAlign w:val="top"/>
            <w:textDirection w:val="lrTb"/>
            <w:noWrap w:val="false"/>
          </w:tcPr>
          <w:p>
            <w:pPr>
              <w:jc w:val="center"/>
              <w:spacing w:line="400" w:lineRule="exact"/>
              <w:rPr>
                <w:rFonts w:hint="eastAsia" w:ascii="宋体" w:hAnsi="宋体"/>
                <w:bCs/>
                <w:sz w:val="24"/>
              </w:rPr>
            </w:pPr>
            <w:r>
              <w:rPr>
                <w:rFonts w:hint="eastAsia" w:ascii="宋体" w:hAnsi="宋体"/>
                <w:bCs/>
                <w:sz w:val="24"/>
              </w:rPr>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成立日期</w:t>
            </w:r>
            <w:r/>
          </w:p>
        </w:tc>
        <w:tc>
          <w:tcPr>
            <w:gridSpan w:val="2"/>
            <w:tcW w:w="2356"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r>
            <w:r/>
          </w:p>
        </w:tc>
        <w:tc>
          <w:tcPr>
            <w:gridSpan w:val="4"/>
            <w:tcW w:w="2179" w:type="dxa"/>
            <w:vAlign w:val="center"/>
            <w:textDirection w:val="lrTb"/>
            <w:noWrap w:val="false"/>
          </w:tcPr>
          <w:p>
            <w:pPr>
              <w:jc w:val="center"/>
              <w:spacing w:line="400" w:lineRule="exact"/>
              <w:rPr>
                <w:rFonts w:hint="eastAsia" w:ascii="宋体" w:hAnsi="宋体"/>
                <w:bCs/>
                <w:sz w:val="24"/>
              </w:rPr>
            </w:pPr>
            <w:r>
              <w:rPr>
                <w:rFonts w:hint="eastAsia" w:ascii="宋体" w:hAnsi="宋体"/>
                <w:sz w:val="24"/>
              </w:rPr>
              <w:t xml:space="preserve">注册资金</w:t>
            </w:r>
            <w:r/>
          </w:p>
        </w:tc>
        <w:tc>
          <w:tcPr>
            <w:gridSpan w:val="3"/>
            <w:tcW w:w="3084"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万元</w:t>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hint="eastAsia" w:ascii="宋体" w:hAnsi="宋体"/>
                <w:sz w:val="24"/>
              </w:rPr>
              <w:t xml:space="preserve">统一社会信用代码</w:t>
            </w:r>
            <w:r/>
          </w:p>
        </w:tc>
        <w:tc>
          <w:tcPr>
            <w:gridSpan w:val="9"/>
            <w:tcW w:w="7619" w:type="dxa"/>
            <w:vAlign w:val="top"/>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经营</w:t>
            </w:r>
            <w:r>
              <w:rPr>
                <w:rFonts w:hint="eastAsia" w:ascii="宋体" w:hAnsi="宋体"/>
                <w:bCs/>
                <w:sz w:val="24"/>
              </w:rPr>
              <w:t xml:space="preserve">建筑</w:t>
            </w:r>
            <w:r>
              <w:rPr>
                <w:rFonts w:ascii="宋体" w:hAnsi="宋体"/>
                <w:bCs/>
                <w:sz w:val="24"/>
              </w:rPr>
              <w:t xml:space="preserve">面积</w:t>
            </w:r>
            <w:r/>
          </w:p>
        </w:tc>
        <w:tc>
          <w:tcPr>
            <w:gridSpan w:val="2"/>
            <w:tcW w:w="2356" w:type="dxa"/>
            <w:vAlign w:val="center"/>
            <w:textDirection w:val="lrTb"/>
            <w:noWrap w:val="false"/>
          </w:tcPr>
          <w:p>
            <w:pPr>
              <w:jc w:val="center"/>
              <w:spacing w:line="400" w:lineRule="exact"/>
              <w:rPr>
                <w:rFonts w:hint="eastAsia" w:ascii="宋体" w:hAnsi="宋体"/>
                <w:bCs/>
                <w:sz w:val="24"/>
              </w:rPr>
            </w:pPr>
            <w:r>
              <w:rPr>
                <w:rFonts w:ascii="宋体" w:hAnsi="宋体"/>
                <w:sz w:val="24"/>
              </w:rPr>
              <w:t xml:space="preserve">平方米</w:t>
            </w:r>
            <w:r/>
          </w:p>
        </w:tc>
        <w:tc>
          <w:tcPr>
            <w:gridSpan w:val="4"/>
            <w:tcW w:w="2179"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其中：</w:t>
            </w:r>
            <w:r/>
          </w:p>
        </w:tc>
        <w:tc>
          <w:tcPr>
            <w:gridSpan w:val="3"/>
            <w:tcW w:w="3084" w:type="dxa"/>
            <w:vAlign w:val="center"/>
            <w:textDirection w:val="lrTb"/>
            <w:noWrap w:val="false"/>
          </w:tcPr>
          <w:p>
            <w:pPr>
              <w:pStyle w:val="738"/>
              <w:ind w:firstLine="0"/>
              <w:jc w:val="center"/>
              <w:spacing w:line="360" w:lineRule="auto"/>
              <w:rPr>
                <w:rFonts w:hint="eastAsia" w:ascii="宋体" w:hAnsi="宋体"/>
                <w:sz w:val="24"/>
                <w:lang w:eastAsia="zh-CN"/>
              </w:rPr>
            </w:pPr>
            <w:r>
              <w:rPr>
                <w:rFonts w:ascii="宋体" w:hAnsi="宋体"/>
                <w:sz w:val="24"/>
                <w:lang w:eastAsia="zh-CN"/>
              </w:rPr>
              <w:t xml:space="preserve">自有面积</w:t>
            </w:r>
            <w:r>
              <w:rPr>
                <w:rFonts w:ascii="宋体" w:hAnsi="宋体"/>
                <w:sz w:val="24"/>
                <w:u w:val="single"/>
                <w:lang w:eastAsia="zh-CN"/>
              </w:rPr>
              <w:t xml:space="preserve">      </w:t>
            </w:r>
            <w:r>
              <w:rPr>
                <w:rFonts w:ascii="宋体" w:hAnsi="宋体"/>
                <w:sz w:val="24"/>
                <w:lang w:eastAsia="zh-CN"/>
              </w:rPr>
              <w:t xml:space="preserve">平方米；</w:t>
            </w:r>
            <w:r/>
          </w:p>
          <w:p>
            <w:pPr>
              <w:jc w:val="center"/>
              <w:spacing w:line="400" w:lineRule="exact"/>
              <w:rPr>
                <w:rFonts w:hint="eastAsia" w:ascii="宋体" w:hAnsi="宋体"/>
                <w:bCs/>
                <w:sz w:val="24"/>
              </w:rPr>
            </w:pPr>
            <w:r>
              <w:rPr>
                <w:rFonts w:ascii="宋体" w:hAnsi="宋体"/>
                <w:sz w:val="24"/>
              </w:rPr>
              <w:t xml:space="preserve">承租面积</w:t>
            </w:r>
            <w:r>
              <w:rPr>
                <w:rFonts w:ascii="宋体" w:hAnsi="宋体"/>
                <w:sz w:val="24"/>
                <w:u w:val="single"/>
              </w:rPr>
              <w:t xml:space="preserve">      </w:t>
            </w:r>
            <w:r>
              <w:rPr>
                <w:rFonts w:ascii="宋体" w:hAnsi="宋体"/>
                <w:sz w:val="24"/>
              </w:rPr>
              <w:t xml:space="preserve">平方米</w:t>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维修资质</w:t>
            </w:r>
            <w:r/>
          </w:p>
        </w:tc>
        <w:tc>
          <w:tcPr>
            <w:gridSpan w:val="2"/>
            <w:tcW w:w="2356" w:type="dxa"/>
            <w:vAlign w:val="top"/>
            <w:textDirection w:val="lrTb"/>
            <w:noWrap w:val="false"/>
          </w:tcPr>
          <w:p>
            <w:pPr>
              <w:jc w:val="center"/>
              <w:spacing w:line="400" w:lineRule="exact"/>
              <w:rPr>
                <w:rFonts w:hint="eastAsia" w:ascii="宋体" w:hAnsi="宋体"/>
                <w:bCs/>
                <w:sz w:val="24"/>
              </w:rPr>
            </w:pPr>
            <w:r>
              <w:rPr>
                <w:rFonts w:hint="eastAsia" w:ascii="宋体" w:hAnsi="宋体"/>
                <w:bCs/>
                <w:sz w:val="24"/>
              </w:rPr>
            </w:r>
            <w:r/>
          </w:p>
        </w:tc>
        <w:tc>
          <w:tcPr>
            <w:gridSpan w:val="4"/>
            <w:tcW w:w="2179" w:type="dxa"/>
            <w:vAlign w:val="top"/>
            <w:textDirection w:val="lrTb"/>
            <w:noWrap w:val="false"/>
          </w:tcPr>
          <w:p>
            <w:pPr>
              <w:jc w:val="center"/>
              <w:spacing w:line="400" w:lineRule="exact"/>
              <w:rPr>
                <w:rFonts w:hint="eastAsia" w:ascii="宋体" w:hAnsi="宋体"/>
                <w:bCs/>
                <w:sz w:val="24"/>
              </w:rPr>
            </w:pPr>
            <w:r>
              <w:rPr>
                <w:rFonts w:ascii="宋体" w:hAnsi="宋体"/>
                <w:bCs/>
                <w:sz w:val="24"/>
              </w:rPr>
              <w:t xml:space="preserve">经营范围</w:t>
            </w:r>
            <w:r/>
          </w:p>
        </w:tc>
        <w:tc>
          <w:tcPr>
            <w:gridSpan w:val="3"/>
            <w:tcW w:w="3084" w:type="dxa"/>
            <w:vAlign w:val="top"/>
            <w:textDirection w:val="lrTb"/>
            <w:noWrap w:val="false"/>
          </w:tcPr>
          <w:p>
            <w:pPr>
              <w:jc w:val="center"/>
              <w:spacing w:line="400" w:lineRule="exact"/>
              <w:rPr>
                <w:rFonts w:hint="eastAsia" w:ascii="宋体" w:hAnsi="宋体"/>
                <w:bCs/>
                <w:sz w:val="24"/>
              </w:rPr>
            </w:pPr>
            <w:r>
              <w:rPr>
                <w:rFonts w:hint="eastAsia" w:ascii="宋体" w:hAnsi="宋体"/>
                <w:bCs/>
                <w:sz w:val="24"/>
              </w:rPr>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开户银行</w:t>
            </w:r>
            <w:r/>
          </w:p>
        </w:tc>
        <w:tc>
          <w:tcPr>
            <w:gridSpan w:val="9"/>
            <w:tcW w:w="7619" w:type="dxa"/>
            <w:vAlign w:val="top"/>
            <w:textDirection w:val="lrTb"/>
            <w:noWrap w:val="false"/>
          </w:tcPr>
          <w:p>
            <w:pPr>
              <w:jc w:val="center"/>
              <w:spacing w:line="40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开户行、开户名称、银行账号</w:t>
            </w:r>
            <w:r>
              <w:rPr>
                <w:rFonts w:ascii="宋体" w:hAnsi="宋体"/>
                <w:bCs/>
                <w:sz w:val="24"/>
              </w:rPr>
              <w:t xml:space="preserve">）</w:t>
            </w:r>
            <w:r/>
          </w:p>
        </w:tc>
      </w:tr>
      <w:tr>
        <w:trPr>
          <w:jc w:val="center"/>
          <w:trHeight w:val="573"/>
        </w:trPr>
        <w:tc>
          <w:tcPr>
            <w:tcW w:w="2518" w:type="dxa"/>
            <w:vAlign w:val="center"/>
            <w:textDirection w:val="lrTb"/>
            <w:noWrap w:val="false"/>
          </w:tcPr>
          <w:p>
            <w:pPr>
              <w:jc w:val="center"/>
              <w:spacing w:line="400" w:lineRule="exact"/>
              <w:rPr>
                <w:rFonts w:hint="eastAsia" w:ascii="宋体" w:hAnsi="宋体"/>
                <w:bCs/>
                <w:sz w:val="24"/>
              </w:rPr>
            </w:pPr>
            <w:r>
              <w:rPr>
                <w:rFonts w:hint="eastAsia" w:ascii="宋体" w:hAnsi="宋体"/>
                <w:sz w:val="24"/>
              </w:rPr>
              <w:t xml:space="preserve">法定代表人</w:t>
            </w:r>
            <w:r/>
          </w:p>
        </w:tc>
        <w:tc>
          <w:tcPr>
            <w:gridSpan w:val="4"/>
            <w:tcW w:w="3581"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r>
            <w:r/>
          </w:p>
        </w:tc>
        <w:tc>
          <w:tcPr>
            <w:gridSpan w:val="3"/>
            <w:tcW w:w="1611"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联系电话</w:t>
            </w:r>
            <w:r/>
          </w:p>
        </w:tc>
        <w:tc>
          <w:tcPr>
            <w:gridSpan w:val="2"/>
            <w:tcW w:w="2427" w:type="dxa"/>
            <w:vAlign w:val="top"/>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车辆维修和保养服务总协调人</w:t>
            </w:r>
            <w:r/>
          </w:p>
        </w:tc>
        <w:tc>
          <w:tcPr>
            <w:gridSpan w:val="4"/>
            <w:tcW w:w="3581"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r>
            <w:r/>
          </w:p>
        </w:tc>
        <w:tc>
          <w:tcPr>
            <w:gridSpan w:val="3"/>
            <w:tcW w:w="1611" w:type="dxa"/>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联系电话</w:t>
            </w:r>
            <w:r/>
          </w:p>
        </w:tc>
        <w:tc>
          <w:tcPr>
            <w:gridSpan w:val="2"/>
            <w:tcW w:w="2427" w:type="dxa"/>
            <w:vAlign w:val="top"/>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hint="eastAsia" w:ascii="宋体" w:hAnsi="宋体"/>
                <w:sz w:val="24"/>
              </w:rPr>
              <w:t xml:space="preserve">职工人员总数</w:t>
            </w:r>
            <w:r/>
          </w:p>
        </w:tc>
        <w:tc>
          <w:tcPr>
            <w:tcW w:w="1463"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r>
            <w:r/>
          </w:p>
        </w:tc>
        <w:tc>
          <w:tcPr>
            <w:gridSpan w:val="2"/>
            <w:tcW w:w="1519" w:type="dxa"/>
            <w:vAlign w:val="center"/>
            <w:textDirection w:val="lrTb"/>
            <w:noWrap w:val="false"/>
          </w:tcPr>
          <w:p>
            <w:pPr>
              <w:jc w:val="center"/>
              <w:spacing w:line="400" w:lineRule="exact"/>
              <w:rPr>
                <w:rFonts w:hint="eastAsia" w:ascii="宋体" w:hAnsi="宋体"/>
                <w:bCs/>
                <w:sz w:val="24"/>
              </w:rPr>
            </w:pPr>
            <w:r>
              <w:rPr>
                <w:rFonts w:hint="eastAsia" w:ascii="宋体" w:hAnsi="宋体"/>
                <w:sz w:val="24"/>
              </w:rPr>
              <w:t xml:space="preserve">管理人员数</w:t>
            </w:r>
            <w:r/>
          </w:p>
        </w:tc>
        <w:tc>
          <w:tcPr>
            <w:gridSpan w:val="2"/>
            <w:tcW w:w="1469"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r>
            <w:r/>
          </w:p>
        </w:tc>
        <w:tc>
          <w:tcPr>
            <w:gridSpan w:val="3"/>
            <w:tcW w:w="1728" w:type="dxa"/>
            <w:vAlign w:val="center"/>
            <w:textDirection w:val="lrTb"/>
            <w:noWrap w:val="false"/>
          </w:tcPr>
          <w:p>
            <w:pPr>
              <w:jc w:val="center"/>
              <w:spacing w:line="400" w:lineRule="exact"/>
              <w:rPr>
                <w:rFonts w:hint="eastAsia" w:ascii="宋体" w:hAnsi="宋体"/>
                <w:bCs/>
                <w:sz w:val="24"/>
              </w:rPr>
            </w:pPr>
            <w:r>
              <w:rPr>
                <w:rFonts w:hint="eastAsia" w:ascii="宋体" w:hAnsi="宋体"/>
                <w:sz w:val="24"/>
              </w:rPr>
              <w:t xml:space="preserve">技术工人数量</w:t>
            </w:r>
            <w:r/>
          </w:p>
        </w:tc>
        <w:tc>
          <w:tcPr>
            <w:tcW w:w="1440" w:type="dxa"/>
            <w:vAlign w:val="top"/>
            <w:textDirection w:val="lrTb"/>
            <w:noWrap w:val="false"/>
          </w:tcPr>
          <w:p>
            <w:pPr>
              <w:spacing w:line="400" w:lineRule="exact"/>
              <w:rPr>
                <w:rFonts w:hint="eastAsia" w:ascii="宋体" w:hAnsi="宋体"/>
                <w:bCs/>
                <w:sz w:val="24"/>
              </w:rPr>
            </w:pPr>
            <w:r>
              <w:rPr>
                <w:rFonts w:hint="eastAsia" w:ascii="宋体" w:hAnsi="宋体"/>
                <w:bCs/>
                <w:sz w:val="24"/>
              </w:rPr>
            </w:r>
            <w:r/>
          </w:p>
        </w:tc>
      </w:tr>
      <w:tr>
        <w:trPr>
          <w:jc w:val="center"/>
        </w:trPr>
        <w:tc>
          <w:tcPr>
            <w:tcW w:w="2518" w:type="dxa"/>
            <w:vAlign w:val="center"/>
            <w:textDirection w:val="lrTb"/>
            <w:noWrap w:val="false"/>
          </w:tcPr>
          <w:p>
            <w:pPr>
              <w:jc w:val="center"/>
              <w:spacing w:line="400" w:lineRule="exact"/>
              <w:rPr>
                <w:rFonts w:hint="eastAsia" w:ascii="宋体" w:hAnsi="宋体"/>
                <w:bCs/>
                <w:sz w:val="24"/>
              </w:rPr>
            </w:pPr>
            <w:r>
              <w:rPr>
                <w:rFonts w:hint="eastAsia" w:ascii="宋体" w:hAnsi="宋体"/>
                <w:sz w:val="24"/>
              </w:rPr>
              <w:t xml:space="preserve">其他需要说明的情况：</w:t>
            </w:r>
            <w:r/>
          </w:p>
        </w:tc>
        <w:tc>
          <w:tcPr>
            <w:gridSpan w:val="9"/>
            <w:tcW w:w="7619" w:type="dxa"/>
            <w:vAlign w:val="top"/>
            <w:textDirection w:val="lrTb"/>
            <w:noWrap w:val="false"/>
          </w:tcPr>
          <w:p>
            <w:pPr>
              <w:spacing w:line="400" w:lineRule="exact"/>
              <w:rPr>
                <w:rFonts w:hint="eastAsia" w:ascii="宋体" w:hAnsi="宋体"/>
                <w:bCs/>
                <w:sz w:val="24"/>
              </w:rPr>
            </w:pPr>
            <w:r>
              <w:rPr>
                <w:rFonts w:hint="eastAsia" w:ascii="宋体" w:hAnsi="宋体"/>
                <w:bCs/>
                <w:sz w:val="24"/>
              </w:rPr>
            </w:r>
            <w:r/>
          </w:p>
          <w:p>
            <w:pPr>
              <w:spacing w:line="400" w:lineRule="exact"/>
              <w:rPr>
                <w:rFonts w:hint="eastAsia" w:ascii="宋体" w:hAnsi="宋体"/>
                <w:bCs/>
                <w:sz w:val="24"/>
              </w:rPr>
            </w:pPr>
            <w:r>
              <w:rPr>
                <w:rFonts w:hint="eastAsia" w:ascii="宋体" w:hAnsi="宋体"/>
                <w:bCs/>
                <w:sz w:val="24"/>
              </w:rPr>
            </w:r>
            <w:r/>
          </w:p>
          <w:p>
            <w:pPr>
              <w:spacing w:line="400" w:lineRule="exact"/>
              <w:rPr>
                <w:rFonts w:hint="eastAsia" w:ascii="宋体" w:hAnsi="宋体"/>
                <w:bCs/>
                <w:sz w:val="24"/>
              </w:rPr>
            </w:pPr>
            <w:r>
              <w:rPr>
                <w:rFonts w:hint="eastAsia" w:ascii="宋体" w:hAnsi="宋体"/>
                <w:bCs/>
                <w:sz w:val="24"/>
              </w:rPr>
            </w:r>
            <w:r/>
          </w:p>
          <w:p>
            <w:pPr>
              <w:spacing w:line="400" w:lineRule="exact"/>
              <w:rPr>
                <w:rFonts w:hint="eastAsia" w:ascii="宋体" w:hAnsi="宋体"/>
                <w:bCs/>
                <w:sz w:val="24"/>
              </w:rPr>
            </w:pPr>
            <w:r>
              <w:rPr>
                <w:rFonts w:hint="eastAsia" w:ascii="宋体" w:hAnsi="宋体"/>
                <w:bCs/>
                <w:sz w:val="24"/>
              </w:rPr>
            </w:r>
            <w:r/>
          </w:p>
          <w:p>
            <w:pPr>
              <w:spacing w:line="400" w:lineRule="exact"/>
              <w:rPr>
                <w:rFonts w:hint="eastAsia" w:ascii="宋体" w:hAnsi="宋体"/>
                <w:bCs/>
                <w:sz w:val="24"/>
              </w:rPr>
            </w:pPr>
            <w:r>
              <w:rPr>
                <w:rFonts w:hint="eastAsia" w:ascii="宋体" w:hAnsi="宋体"/>
                <w:bCs/>
                <w:sz w:val="24"/>
              </w:rPr>
            </w:r>
            <w:r/>
          </w:p>
        </w:tc>
      </w:tr>
    </w:tbl>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单位名称（加盖CA电子公章）：</w:t>
      </w:r>
      <w:r/>
    </w:p>
    <w:p>
      <w:pPr>
        <w:ind w:right="1560" w:firstLine="624"/>
        <w:jc w:val="center"/>
        <w:spacing w:line="588" w:lineRule="exact"/>
        <w:tabs>
          <w:tab w:val="left" w:pos="4860" w:leader="none"/>
        </w:tabs>
        <w:rPr>
          <w:rFonts w:ascii="仿宋_GB2312" w:hAnsi="Times New Roman" w:eastAsia="仿宋_GB2312"/>
          <w:spacing w:val="6"/>
          <w:sz w:val="30"/>
          <w:szCs w:val="30"/>
        </w:rPr>
      </w:pPr>
      <w:r>
        <w:rPr>
          <w:rFonts w:ascii="仿宋_GB2312" w:hAnsi="Times New Roman" w:eastAsia="仿宋_GB2312"/>
          <w:spacing w:val="6"/>
          <w:sz w:val="30"/>
          <w:szCs w:val="30"/>
        </w:rPr>
      </w:r>
      <w:r/>
    </w:p>
    <w:p>
      <w:pPr>
        <w:rPr>
          <w:rFonts w:hint="eastAsia" w:ascii="宋体" w:hAnsi="宋体"/>
          <w:color w:val="000000" w:themeColor="text1"/>
          <w:sz w:val="24"/>
          <w:szCs w:val="24"/>
          <w:highlight w:val="none"/>
          <w14:textFill>
            <w14:solidFill>
              <w14:schemeClr w14:val="tx1"/>
            </w14:solidFill>
          </w14:textFill>
        </w:rPr>
      </w:pPr>
      <w:r>
        <w:rPr>
          <w:rFonts w:hint="eastAsia" w:ascii="仿宋_GB2312" w:hAnsi="Times New Roman"/>
          <w:sz w:val="28"/>
          <w:szCs w:val="28"/>
        </w:rPr>
        <w:t xml:space="preserve">                </w:t>
      </w:r>
      <w:r>
        <w:rPr>
          <w:rFonts w:hint="eastAsia" w:ascii="仿宋_GB2312" w:hAnsi="Times New Roman"/>
          <w:sz w:val="28"/>
          <w:szCs w:val="28"/>
          <w:lang w:val="en-US" w:eastAsia="zh-CN"/>
        </w:rPr>
        <w:t xml:space="preserve">                </w:t>
      </w:r>
      <w:r>
        <w:rPr>
          <w:rFonts w:hint="eastAsia" w:ascii="仿宋_GB2312" w:hAnsi="Times New Roman"/>
          <w:sz w:val="28"/>
          <w:szCs w:val="28"/>
          <w:u w:val="single"/>
        </w:rPr>
        <w:t xml:space="preserve">        </w:t>
      </w:r>
      <w:r>
        <w:rPr>
          <w:rFonts w:hint="eastAsia" w:ascii="仿宋_GB2312" w:hAnsi="Times New Roman"/>
          <w:sz w:val="28"/>
          <w:szCs w:val="28"/>
        </w:rPr>
        <w:t xml:space="preserve">年</w:t>
      </w:r>
      <w:r>
        <w:rPr>
          <w:rFonts w:hint="eastAsia" w:ascii="仿宋_GB2312" w:hAnsi="Times New Roman"/>
          <w:sz w:val="28"/>
          <w:szCs w:val="28"/>
          <w:u w:val="single"/>
        </w:rPr>
        <w:t xml:space="preserve">      </w:t>
      </w:r>
      <w:r>
        <w:rPr>
          <w:rFonts w:hint="eastAsia" w:ascii="仿宋_GB2312" w:hAnsi="Times New Roman"/>
          <w:sz w:val="28"/>
          <w:szCs w:val="28"/>
        </w:rPr>
        <w:t xml:space="preserve"> 月 </w:t>
      </w:r>
      <w:r>
        <w:rPr>
          <w:rFonts w:hint="eastAsia" w:ascii="仿宋_GB2312" w:hAnsi="Times New Roman"/>
          <w:sz w:val="28"/>
          <w:szCs w:val="28"/>
          <w:u w:val="single"/>
        </w:rPr>
        <w:t xml:space="preserve">     </w:t>
      </w:r>
      <w:r>
        <w:rPr>
          <w:rFonts w:hint="eastAsia" w:ascii="仿宋_GB2312" w:hAnsi="Times New Roman"/>
          <w:sz w:val="28"/>
          <w:szCs w:val="28"/>
        </w:rPr>
        <w:t xml:space="preserve"> 日</w:t>
      </w:r>
      <w:r/>
    </w:p>
    <w:p>
      <w:pPr>
        <w:ind w:firstLine="422"/>
        <w:jc w:val="both"/>
        <w:keepLines w:val="0"/>
        <w:keepNext w:val="0"/>
        <w:pageBreakBefore w:val="0"/>
        <w:spacing w:line="360" w:lineRule="auto"/>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jc w:val="both"/>
        <w:keepLines w:val="0"/>
        <w:keepNext w:val="0"/>
        <w:pageBreakBefore w:val="0"/>
        <w:spacing w:line="360" w:lineRule="auto"/>
        <w:widowControl w:val="off"/>
        <w:rPr>
          <w:rFonts w:hint="default" w:ascii="仿宋_GB2312" w:hAnsi="Arial"/>
          <w:color w:val="000000" w:themeColor="text1"/>
          <w:sz w:val="30"/>
          <w:highlight w:val="none"/>
          <w:lang w:val="en-US"/>
          <w14:textFill>
            <w14:solidFill>
              <w14:schemeClr w14:val="tx1"/>
            </w14:solidFill>
          </w14:textFill>
        </w:rPr>
      </w:pPr>
      <w:r>
        <w:rPr>
          <w:rFonts w:hint="default" w:ascii="仿宋_GB2312" w:hAnsi="Arial"/>
          <w:color w:val="000000" w:themeColor="text1"/>
          <w:sz w:val="30"/>
          <w:highlight w:val="none"/>
          <w:lang w:val="en-US"/>
          <w14:textFill>
            <w14:solidFill>
              <w14:schemeClr w14:val="tx1"/>
            </w14:solidFill>
          </w14:textFill>
        </w:rPr>
      </w:r>
      <w:r/>
    </w:p>
    <w:p>
      <w:pPr>
        <w:pStyle w:val="738"/>
        <w:ind w:firstLine="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729"/>
        <w:numPr>
          <w:ilvl w:val="0"/>
          <w:numId w:val="0"/>
        </w:numPr>
        <w:jc w:val="center"/>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十五、质量保证书</w:t>
      </w:r>
      <w:r/>
    </w:p>
    <w:p>
      <w:pPr>
        <w:jc w:val="center"/>
        <w:rPr>
          <w:rFonts w:ascii="宋体" w:hAnsi="宋体"/>
          <w:b/>
          <w:sz w:val="30"/>
          <w:szCs w:val="30"/>
          <w:highlight w:val="none"/>
        </w:rPr>
      </w:pPr>
      <w:r>
        <w:rPr>
          <w:rFonts w:ascii="宋体" w:hAnsi="宋体"/>
          <w:b/>
          <w:sz w:val="30"/>
          <w:szCs w:val="30"/>
          <w:highlight w:val="none"/>
        </w:rPr>
      </w:r>
      <w:r/>
    </w:p>
    <w:p>
      <w:pPr>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东台市机关事务服务</w:t>
      </w:r>
      <w:r>
        <w:rPr>
          <w:rFonts w:hint="eastAsia" w:ascii="宋体" w:hAnsi="宋体"/>
          <w:sz w:val="24"/>
          <w:szCs w:val="24"/>
          <w:highlight w:val="none"/>
        </w:rPr>
        <w:t xml:space="preserve">中心：</w:t>
      </w:r>
      <w:r/>
    </w:p>
    <w:p>
      <w:pPr>
        <w:ind w:firstLine="645"/>
        <w:spacing w:line="480" w:lineRule="exact"/>
        <w:rPr>
          <w:rFonts w:ascii="宋体" w:hAnsi="宋体"/>
          <w:sz w:val="24"/>
          <w:szCs w:val="24"/>
          <w:highlight w:val="none"/>
        </w:rPr>
      </w:pPr>
      <w:r>
        <w:rPr>
          <w:rFonts w:hint="eastAsia" w:ascii="宋体" w:hAnsi="宋体"/>
          <w:sz w:val="24"/>
          <w:szCs w:val="24"/>
          <w:highlight w:val="none"/>
        </w:rPr>
        <w:t xml:space="preserve">本保证书作为</w:t>
      </w:r>
      <w:r>
        <w:rPr>
          <w:rFonts w:hint="eastAsia" w:ascii="宋体" w:hAnsi="宋体"/>
          <w:sz w:val="24"/>
          <w:szCs w:val="24"/>
          <w:highlight w:val="none"/>
          <w:u w:val="single"/>
        </w:rPr>
        <w:t xml:space="preserve">                 </w:t>
      </w:r>
      <w:r>
        <w:rPr>
          <w:rFonts w:hint="eastAsia" w:ascii="宋体" w:hAnsi="宋体"/>
          <w:sz w:val="24"/>
          <w:szCs w:val="24"/>
          <w:highlight w:val="none"/>
        </w:rPr>
        <w:t xml:space="preserve">（供应商单位名称）参加2026-2027年度东台市党政机关、事业单位和团体组织公务用车维修和保养服务框架协议采购项目（征集文件编号：</w:t>
      </w:r>
      <w:r>
        <w:rPr>
          <w:rFonts w:hint="eastAsia" w:ascii="宋体" w:hAnsi="宋体"/>
          <w:sz w:val="24"/>
          <w:szCs w:val="24"/>
          <w:highlight w:val="none"/>
          <w:lang w:eastAsia="zh-CN"/>
        </w:rPr>
        <w:t xml:space="preserve">JSZC-320981-JZCG-K2025-0029</w:t>
      </w:r>
      <w:r>
        <w:rPr>
          <w:rFonts w:hint="eastAsia" w:ascii="宋体" w:hAnsi="宋体"/>
          <w:sz w:val="24"/>
          <w:szCs w:val="24"/>
          <w:highlight w:val="none"/>
        </w:rPr>
        <w:t xml:space="preserve">）响应文件的不可分割的一部分。如我单位有幸成为</w:t>
      </w:r>
      <w:r>
        <w:rPr>
          <w:rFonts w:hint="eastAsia" w:ascii="宋体" w:hAnsi="宋体"/>
          <w:sz w:val="24"/>
          <w:szCs w:val="24"/>
          <w:highlight w:val="none"/>
          <w:lang w:val="en-US" w:eastAsia="zh-CN"/>
        </w:rPr>
        <w:t xml:space="preserve">东台市</w:t>
      </w:r>
      <w:r>
        <w:rPr>
          <w:rFonts w:hint="eastAsia" w:ascii="宋体" w:hAnsi="宋体"/>
          <w:sz w:val="24"/>
          <w:szCs w:val="24"/>
          <w:highlight w:val="none"/>
        </w:rPr>
        <w:t xml:space="preserve">党政机关、事业单位和团体组织公务用车框架协议维修单位，在本次合同有效期内，特向贵方保证，在以下维修合格出厂车辆的质量保证里程或日期内，因维修质量造成的机械事故和经济损失，由我单位承担全部责任。</w:t>
      </w:r>
      <w:r/>
    </w:p>
    <w:p>
      <w:pPr>
        <w:numPr>
          <w:ilvl w:val="0"/>
          <w:numId w:val="0"/>
        </w:numPr>
        <w:ind w:left="645"/>
        <w:jc w:val="both"/>
        <w:spacing w:line="480" w:lineRule="exact"/>
        <w:widowControl w:val="off"/>
        <w:rPr>
          <w:rFonts w:ascii="宋体" w:hAnsi="宋体"/>
          <w:sz w:val="24"/>
          <w:szCs w:val="24"/>
          <w:highlight w:val="none"/>
        </w:rPr>
      </w:pPr>
      <w:r>
        <w:rPr>
          <w:rFonts w:ascii="宋体" w:hAnsi="宋体"/>
          <w:sz w:val="24"/>
          <w:szCs w:val="24"/>
          <w:highlight w:val="none"/>
        </w:rPr>
      </w:r>
      <w:r/>
    </w:p>
    <w:p>
      <w:pPr>
        <w:ind w:left="645"/>
        <w:rPr>
          <w:rFonts w:ascii="宋体" w:hAnsi="宋体"/>
          <w:sz w:val="24"/>
          <w:szCs w:val="24"/>
          <w:highlight w:val="none"/>
        </w:rPr>
      </w:pPr>
      <w:r>
        <w:rPr>
          <w:rFonts w:ascii="宋体" w:hAnsi="宋体"/>
          <w:sz w:val="24"/>
          <w:szCs w:val="24"/>
          <w:highlight w:val="none"/>
        </w:rPr>
      </w:r>
      <w:r/>
    </w:p>
    <w:p>
      <w:pPr>
        <w:jc w:val="center"/>
        <w:rPr>
          <w:rFonts w:ascii="宋体" w:hAnsi="宋体"/>
          <w:sz w:val="24"/>
          <w:szCs w:val="24"/>
          <w:highlight w:val="none"/>
        </w:rPr>
      </w:pPr>
      <w:r>
        <w:rPr>
          <w:rFonts w:ascii="宋体" w:hAnsi="宋体"/>
          <w:sz w:val="24"/>
          <w:szCs w:val="24"/>
          <w:highlight w:val="none"/>
        </w:rPr>
        <w:t xml:space="preserve"> </w:t>
      </w:r>
      <w:r/>
    </w:p>
    <w:p>
      <w:pPr>
        <w:jc w:val="center"/>
        <w:rPr>
          <w:rFonts w:ascii="宋体" w:hAnsi="宋体"/>
          <w:sz w:val="24"/>
          <w:szCs w:val="24"/>
          <w:highlight w:val="none"/>
        </w:rPr>
      </w:pPr>
      <w:r>
        <w:rPr>
          <w:rFonts w:ascii="宋体" w:hAnsi="宋体"/>
          <w:sz w:val="24"/>
          <w:szCs w:val="24"/>
          <w:highlight w:val="none"/>
        </w:rPr>
      </w:r>
      <w:r/>
    </w:p>
    <w:p>
      <w:pPr>
        <w:jc w:val="center"/>
        <w:rPr>
          <w:rFonts w:ascii="宋体" w:hAnsi="宋体"/>
          <w:sz w:val="24"/>
          <w:szCs w:val="24"/>
          <w:highlight w:val="none"/>
        </w:rPr>
      </w:pPr>
      <w:r>
        <w:rPr>
          <w:rFonts w:ascii="宋体" w:hAnsi="宋体"/>
          <w:sz w:val="24"/>
          <w:szCs w:val="24"/>
          <w:highlight w:val="none"/>
        </w:rPr>
        <w:t xml:space="preserve"> 供应商全称（加盖CA电子公章）：</w:t>
      </w:r>
      <w:r/>
    </w:p>
    <w:p>
      <w:pPr>
        <w:jc w:val="center"/>
        <w:spacing w:line="499" w:lineRule="atLeast"/>
        <w:widowControl/>
        <w:rPr>
          <w:rFonts w:hint="eastAsia" w:ascii="宋体" w:hAnsi="宋体"/>
          <w:sz w:val="24"/>
          <w:szCs w:val="24"/>
          <w:highlight w:val="none"/>
        </w:rPr>
      </w:pPr>
      <w:r>
        <w:rPr>
          <w:rFonts w:hint="eastAsia" w:ascii="宋体" w:hAnsi="宋体"/>
          <w:sz w:val="24"/>
          <w:szCs w:val="24"/>
          <w:highlight w:val="none"/>
        </w:rPr>
        <w:t xml:space="preserve">                                        </w:t>
      </w:r>
      <w:r/>
    </w:p>
    <w:p>
      <w:pPr>
        <w:jc w:val="center"/>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sz w:val="24"/>
          <w:szCs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center"/>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jc w:val="center"/>
        <w:spacing w:line="499" w:lineRule="atLeast"/>
        <w:widowControl/>
        <w:rPr>
          <w:rFonts w:hint="default" w:ascii="宋体" w:hAnsi="宋体" w:cs="Times New Roman"/>
          <w:b/>
          <w:bCs/>
          <w:color w:val="000000" w:themeColor="text1"/>
          <w:sz w:val="32"/>
          <w:szCs w:val="32"/>
          <w:highlight w:val="none"/>
          <w:lang w:val="en-US" w:eastAsia="zh-CN" w:bidi="ar-SA"/>
          <w14:textFill>
            <w14:solidFill>
              <w14:schemeClr w14:val="tx1"/>
            </w14:solidFill>
          </w14:textFill>
        </w:rPr>
      </w:pPr>
      <w:r>
        <w:rPr>
          <w:rFonts w:hint="default"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0"/>
          <w:numId w:val="0"/>
        </w:numPr>
        <w:jc w:val="center"/>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十六、维修服务承诺函</w:t>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pStyle w:val="763"/>
        <w:ind w:left="0" w:firstLine="0"/>
        <w:keepLines w:val="0"/>
        <w:keepNext w:val="0"/>
        <w:widowControl/>
        <w:rPr>
          <w:rFonts w:hint="eastAsia" w:ascii="黑体" w:hAnsi="Times New Roman" w:eastAsia="黑体" w:cs="Times New Roman"/>
          <w:b/>
          <w:bCs/>
          <w:sz w:val="32"/>
          <w:szCs w:val="32"/>
          <w:highlight w:val="none"/>
          <w:lang w:val="en-US" w:eastAsia="zh-CN"/>
        </w:rPr>
        <w:suppressLineNumbers w:val="0"/>
      </w:pPr>
      <w:r>
        <w:rPr>
          <w:rFonts w:hint="eastAsia" w:ascii="宋体" w:hAnsi="宋体"/>
          <w:sz w:val="24"/>
          <w:szCs w:val="24"/>
          <w:highlight w:val="none"/>
          <w:lang w:val="en-US" w:eastAsia="zh-CN"/>
        </w:rPr>
        <w:t xml:space="preserve">东台市机关事务服务</w:t>
      </w:r>
      <w:r>
        <w:rPr>
          <w:rFonts w:hint="eastAsia" w:ascii="宋体" w:hAnsi="宋体"/>
          <w:sz w:val="24"/>
          <w:szCs w:val="24"/>
          <w:highlight w:val="none"/>
        </w:rPr>
        <w:t xml:space="preserve">中心：</w:t>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480"/>
        <w:keepLines w:val="0"/>
        <w:keepNext w:val="0"/>
        <w:pageBreakBefore w:val="0"/>
        <w:spacing w:line="480" w:lineRule="auto"/>
        <w:widowControl/>
        <w:rPr>
          <w:rFonts w:hint="eastAsia" w:ascii="黑体" w:hAnsi="Times New Roman" w:eastAsia="黑体" w:cs="Times New Roman"/>
          <w:b/>
          <w:bCs/>
          <w:sz w:val="32"/>
          <w:szCs w:val="32"/>
          <w:highlight w:val="none"/>
        </w:rPr>
        <w:suppressLineNumbers w:val="0"/>
      </w:pPr>
      <w:r>
        <w:rPr>
          <w:rFonts w:hint="eastAsia" w:ascii="宋体" w:hAnsi="宋体" w:cs="宋体"/>
          <w:b w:val="0"/>
          <w:bCs w:val="0"/>
          <w:sz w:val="24"/>
          <w:szCs w:val="24"/>
          <w:highlight w:val="none"/>
          <w:u w:val="none"/>
          <w:lang w:val="en-US" w:eastAsia="zh-CN"/>
        </w:rPr>
        <w:t xml:space="preserve">我单位</w:t>
      </w:r>
      <w:r>
        <w:rPr>
          <w:rFonts w:hint="eastAsia" w:ascii="宋体" w:hAnsi="宋体" w:eastAsia="宋体" w:cs="宋体"/>
          <w:b w:val="0"/>
          <w:bCs w:val="0"/>
          <w:sz w:val="24"/>
          <w:szCs w:val="24"/>
          <w:highlight w:val="none"/>
        </w:rPr>
        <w:t xml:space="preserve">参加2026-2027年度东台市党政机关、事业单位和团体组织公务用车维修和保养服务框架协议采购项目（征集文件编号：</w:t>
      </w:r>
      <w:r>
        <w:rPr>
          <w:rFonts w:hint="eastAsia" w:ascii="宋体" w:hAnsi="宋体" w:cs="宋体"/>
          <w:b w:val="0"/>
          <w:bCs w:val="0"/>
          <w:sz w:val="24"/>
          <w:szCs w:val="24"/>
          <w:highlight w:val="none"/>
          <w:lang w:eastAsia="zh-CN"/>
        </w:rPr>
        <w:t xml:space="preserve">JSZC-320981-JZCG-K2025-0029</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如有幸</w:t>
      </w:r>
      <w:r>
        <w:rPr>
          <w:rFonts w:hint="eastAsia" w:ascii="宋体" w:hAnsi="宋体" w:eastAsia="宋体" w:cs="宋体"/>
          <w:b w:val="0"/>
          <w:bCs w:val="0"/>
          <w:sz w:val="24"/>
          <w:szCs w:val="24"/>
          <w:highlight w:val="none"/>
          <w:lang w:val="en-US" w:eastAsia="zh-CN"/>
        </w:rPr>
        <w:t xml:space="preserve">入围</w:t>
      </w:r>
      <w:r>
        <w:rPr>
          <w:rFonts w:hint="eastAsia" w:ascii="宋体" w:hAnsi="宋体" w:eastAsia="宋体" w:cs="宋体"/>
          <w:b w:val="0"/>
          <w:bCs w:val="0"/>
          <w:sz w:val="24"/>
          <w:szCs w:val="24"/>
          <w:highlight w:val="none"/>
        </w:rPr>
        <w:t xml:space="preserve">成为</w:t>
      </w:r>
      <w:r>
        <w:rPr>
          <w:rFonts w:hint="eastAsia" w:ascii="宋体" w:hAnsi="宋体" w:eastAsia="宋体" w:cs="宋体"/>
          <w:b w:val="0"/>
          <w:bCs w:val="0"/>
          <w:sz w:val="24"/>
          <w:szCs w:val="24"/>
          <w:highlight w:val="none"/>
          <w:lang w:val="en-US" w:eastAsia="zh-CN"/>
        </w:rPr>
        <w:t xml:space="preserve">服务</w:t>
      </w:r>
      <w:r>
        <w:rPr>
          <w:rFonts w:hint="eastAsia" w:ascii="宋体" w:hAnsi="宋体" w:eastAsia="宋体" w:cs="宋体"/>
          <w:b w:val="0"/>
          <w:bCs w:val="0"/>
          <w:sz w:val="24"/>
          <w:szCs w:val="24"/>
          <w:highlight w:val="none"/>
        </w:rPr>
        <w:t xml:space="preserve">维修单位，特向贵方</w:t>
      </w:r>
      <w:r>
        <w:rPr>
          <w:rFonts w:hint="eastAsia" w:ascii="宋体" w:hAnsi="宋体" w:cs="宋体"/>
          <w:b w:val="0"/>
          <w:bCs w:val="0"/>
          <w:sz w:val="24"/>
          <w:szCs w:val="24"/>
          <w:highlight w:val="none"/>
          <w:lang w:val="en-US" w:eastAsia="zh-CN"/>
        </w:rPr>
        <w:t xml:space="preserve">作出如下维修服务承诺：</w:t>
      </w:r>
      <w:r/>
    </w:p>
    <w:p>
      <w:pPr>
        <w:pStyle w:val="763"/>
        <w:ind w:left="0" w:firstLine="480"/>
        <w:keepLines w:val="0"/>
        <w:keepNext w:val="0"/>
        <w:pageBreakBefore w:val="0"/>
        <w:spacing w:line="48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1、</w:t>
      </w:r>
      <w:r>
        <w:rPr>
          <w:rFonts w:hint="eastAsia" w:ascii="宋体" w:hAnsi="宋体" w:cs="宋体"/>
          <w:b w:val="0"/>
          <w:bCs w:val="0"/>
          <w:sz w:val="24"/>
          <w:szCs w:val="24"/>
          <w:highlight w:val="none"/>
          <w:u w:val="none"/>
          <w:lang w:val="en-US" w:eastAsia="zh-CN"/>
        </w:rPr>
        <w:t xml:space="preserve">我单位</w:t>
      </w:r>
      <w:r>
        <w:rPr>
          <w:rFonts w:hint="eastAsia" w:ascii="宋体" w:hAnsi="宋体" w:eastAsia="宋体" w:cs="宋体"/>
          <w:b w:val="0"/>
          <w:bCs w:val="0"/>
          <w:sz w:val="24"/>
          <w:szCs w:val="24"/>
          <w:highlight w:val="none"/>
          <w:lang w:val="en-US" w:eastAsia="zh-CN"/>
        </w:rPr>
        <w:t xml:space="preserve">承诺设有24小时服务电话，在接到送修的采购人报修电话后半小时内予以响应，并能免费提供上门维修服务。</w:t>
      </w:r>
      <w:r/>
    </w:p>
    <w:p>
      <w:pPr>
        <w:pStyle w:val="763"/>
        <w:ind w:left="0" w:firstLine="480"/>
        <w:keepLines w:val="0"/>
        <w:keepNext w:val="0"/>
        <w:pageBreakBefore w:val="0"/>
        <w:spacing w:line="48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u w:val="none"/>
          <w:lang w:val="en-US" w:eastAsia="zh-CN"/>
        </w:rPr>
        <w:t xml:space="preserve">我单位</w:t>
      </w:r>
      <w:r>
        <w:rPr>
          <w:rFonts w:hint="eastAsia" w:ascii="宋体" w:hAnsi="宋体" w:eastAsia="宋体" w:cs="宋体"/>
          <w:b w:val="0"/>
          <w:bCs w:val="0"/>
          <w:sz w:val="24"/>
          <w:szCs w:val="24"/>
          <w:highlight w:val="none"/>
          <w:lang w:val="en-US" w:eastAsia="zh-CN"/>
        </w:rPr>
        <w:t xml:space="preserve">承诺为送修的采购人提供紧急救援服务，配备有明显标志的抢修车，东台市区范围内应能在1小时内派人赶到救援现场。</w:t>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63"/>
        <w:ind w:left="0" w:firstLine="0"/>
        <w:keepLines w:val="0"/>
        <w:keepNext w:val="0"/>
        <w:widowControl/>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spacing w:line="499" w:lineRule="atLeast"/>
        <w:widowControl/>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center"/>
        <w:spacing w:line="499" w:lineRule="atLeast"/>
        <w:widowControl/>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firstLine="52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rPr>
          <w:rFonts w:hint="eastAsia" w:ascii="宋体" w:hAnsi="宋体" w:cs="宋体"/>
          <w:color w:val="000000"/>
          <w:sz w:val="24"/>
          <w:highlight w:val="none"/>
          <w:lang w:val="en-US" w:eastAsia="zh-CN"/>
        </w:rPr>
        <w:t xml:space="preserve">或盖章</w:t>
      </w:r>
      <w:r>
        <w:rPr>
          <w:rFonts w:hint="eastAsia" w:ascii="宋体" w:hAnsi="宋体" w:eastAsia="宋体" w:cs="宋体"/>
          <w:color w:val="000000"/>
          <w:sz w:val="24"/>
          <w:highlight w:val="none"/>
        </w:rPr>
        <w:t xml:space="preserve">：</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7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bookmarkEnd w:id="242"/>
      <w:r/>
    </w:p>
    <w:p>
      <w:pPr>
        <w:jc w:val="center"/>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十八、与评审有关的其他材料（如有）</w:t>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38"/>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738"/>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sectPr>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方正黑体_GBK">
    <w:panose1 w:val="020B0503020202020204"/>
  </w:font>
  <w:font w:name="Adobe 仿宋 Std R">
    <w:panose1 w:val="020B0503020202020204"/>
  </w:font>
  <w:font w:name="新宋体">
    <w:panose1 w:val="02010609030101010101"/>
  </w:font>
  <w:font w:name="Symbol">
    <w:panose1 w:val="05050102010706020507"/>
  </w:font>
  <w:font w:name="Calibri">
    <w:panose1 w:val="020F0502020204030204"/>
  </w:font>
  <w:font w:name="方正小标宋简体">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8">
    <w:name w:val="Heading 1"/>
    <w:basedOn w:val="727"/>
    <w:next w:val="727"/>
    <w:uiPriority w:val="0"/>
    <w:qFormat/>
    <w:pPr>
      <w:jc w:val="center"/>
      <w:keepNext/>
      <w:outlineLvl w:val="0"/>
    </w:pPr>
    <w:rPr>
      <w:rFonts w:ascii="楷体_GB2312" w:eastAsia="楷体_GB2312"/>
      <w:sz w:val="28"/>
      <w:szCs w:val="28"/>
    </w:rPr>
  </w:style>
  <w:style w:type="paragraph" w:styleId="729">
    <w:name w:val="Heading 2"/>
    <w:basedOn w:val="727"/>
    <w:next w:val="7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0">
    <w:name w:val="Heading 3"/>
    <w:basedOn w:val="727"/>
    <w:next w:val="727"/>
    <w:uiPriority w:val="0"/>
    <w:qFormat/>
    <w:pPr>
      <w:keepLines/>
      <w:keepNext/>
      <w:spacing w:before="260" w:after="260" w:line="416" w:lineRule="auto"/>
      <w:outlineLvl w:val="2"/>
    </w:pPr>
    <w:rPr>
      <w:b/>
      <w:bCs/>
      <w:sz w:val="32"/>
      <w:szCs w:val="32"/>
    </w:rPr>
  </w:style>
  <w:style w:type="paragraph" w:styleId="731">
    <w:name w:val="Heading 5"/>
    <w:basedOn w:val="727"/>
    <w:next w:val="727"/>
    <w:link w:val="774"/>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7"/>
    <w:next w:val="727"/>
    <w:link w:val="775"/>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7"/>
    <w:next w:val="727"/>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7"/>
    <w:next w:val="727"/>
    <w:link w:val="777"/>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7"/>
    <w:next w:val="727"/>
    <w:link w:val="778"/>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Normal Indent"/>
    <w:basedOn w:val="727"/>
    <w:uiPriority w:val="0"/>
    <w:qFormat/>
    <w:pPr>
      <w:ind w:firstLine="420"/>
    </w:p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Body Text"/>
    <w:basedOn w:val="727"/>
    <w:next w:val="727"/>
    <w:uiPriority w:val="0"/>
    <w:unhideWhenUsed/>
    <w:qFormat/>
    <w:pPr>
      <w:spacing w:after="120"/>
    </w:pPr>
    <w:rPr>
      <w:rFonts w:ascii="Times New Roman" w:hAnsi="Times New Roman" w:eastAsia="宋体" w:cs="Times New Roman"/>
    </w:rPr>
  </w:style>
  <w:style w:type="paragraph" w:styleId="742">
    <w:name w:val="Body Text Indent"/>
    <w:basedOn w:val="727"/>
    <w:next w:val="743"/>
    <w:uiPriority w:val="99"/>
    <w:unhideWhenUsed/>
    <w:qFormat/>
    <w:pPr>
      <w:ind w:left="420"/>
      <w:spacing w:after="120"/>
    </w:pPr>
  </w:style>
  <w:style w:type="paragraph" w:styleId="743">
    <w:name w:val="envelope return"/>
    <w:basedOn w:val="727"/>
    <w:uiPriority w:val="0"/>
    <w:qFormat/>
    <w:rPr>
      <w:rFonts w:ascii="Arial" w:hAnsi="Arial" w:eastAsia="宋体" w:cs="Times New Roman"/>
    </w:rPr>
  </w:style>
  <w:style w:type="paragraph" w:styleId="744">
    <w:name w:val="toc 5"/>
    <w:basedOn w:val="727"/>
    <w:next w:val="727"/>
    <w:uiPriority w:val="39"/>
    <w:unhideWhenUsed/>
    <w:qFormat/>
    <w:pPr>
      <w:ind w:left="1134" w:right="0" w:firstLine="0"/>
      <w:spacing w:after="57"/>
    </w:pPr>
  </w:style>
  <w:style w:type="paragraph" w:styleId="745">
    <w:name w:val="toc 3"/>
    <w:basedOn w:val="727"/>
    <w:next w:val="727"/>
    <w:uiPriority w:val="39"/>
    <w:unhideWhenUsed/>
    <w:qFormat/>
    <w:pPr>
      <w:ind w:left="567" w:right="0" w:firstLine="0"/>
      <w:spacing w:after="57"/>
    </w:pPr>
  </w:style>
  <w:style w:type="paragraph" w:styleId="746">
    <w:name w:val="Plain Text"/>
    <w:basedOn w:val="727"/>
    <w:uiPriority w:val="0"/>
    <w:qFormat/>
    <w:rPr>
      <w:rFonts w:ascii="宋体" w:hAnsi="Courier New" w:cs="Courier New"/>
    </w:rPr>
  </w:style>
  <w:style w:type="paragraph" w:styleId="747">
    <w:name w:val="toc 8"/>
    <w:basedOn w:val="727"/>
    <w:next w:val="727"/>
    <w:uiPriority w:val="39"/>
    <w:unhideWhenUsed/>
    <w:qFormat/>
    <w:pPr>
      <w:ind w:left="1984" w:right="0" w:firstLine="0"/>
      <w:spacing w:after="57"/>
    </w:pPr>
  </w:style>
  <w:style w:type="paragraph" w:styleId="748">
    <w:name w:val="endnote text"/>
    <w:basedOn w:val="727"/>
    <w:link w:val="916"/>
    <w:uiPriority w:val="99"/>
    <w:semiHidden/>
    <w:unhideWhenUsed/>
    <w:qFormat/>
    <w:pPr>
      <w:spacing w:after="0" w:line="240" w:lineRule="auto"/>
    </w:pPr>
    <w:rPr>
      <w:sz w:val="20"/>
    </w:rPr>
  </w:style>
  <w:style w:type="paragraph" w:styleId="749">
    <w:name w:val="Footer"/>
    <w:basedOn w:val="727"/>
    <w:uiPriority w:val="0"/>
    <w:qFormat/>
    <w:pPr>
      <w:jc w:val="left"/>
      <w:tabs>
        <w:tab w:val="center" w:pos="4153" w:leader="none"/>
        <w:tab w:val="right" w:pos="8306" w:leader="none"/>
      </w:tabs>
    </w:pPr>
    <w:rPr>
      <w:sz w:val="18"/>
      <w:szCs w:val="18"/>
    </w:rPr>
  </w:style>
  <w:style w:type="paragraph" w:styleId="750">
    <w:name w:val="Header"/>
    <w:basedOn w:val="727"/>
    <w:uiPriority w:val="0"/>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7"/>
    <w:next w:val="727"/>
    <w:uiPriority w:val="39"/>
    <w:qFormat/>
    <w:pPr>
      <w:jc w:val="left"/>
      <w:spacing w:before="120" w:after="120" w:line="400" w:lineRule="exact"/>
      <w:tabs>
        <w:tab w:val="right" w:pos="8720" w:leader="dot"/>
      </w:tabs>
    </w:pPr>
    <w:rPr>
      <w:rFonts w:ascii="宋体" w:hAnsi="宋体"/>
      <w:caps/>
      <w:sz w:val="24"/>
      <w:szCs w:val="24"/>
    </w:rPr>
  </w:style>
  <w:style w:type="paragraph" w:styleId="752">
    <w:name w:val="toc 4"/>
    <w:basedOn w:val="727"/>
    <w:next w:val="727"/>
    <w:uiPriority w:val="39"/>
    <w:unhideWhenUsed/>
    <w:qFormat/>
    <w:pPr>
      <w:ind w:left="850" w:right="0" w:firstLine="0"/>
      <w:spacing w:after="57"/>
    </w:pPr>
  </w:style>
  <w:style w:type="paragraph" w:styleId="753">
    <w:name w:val="Subtitle"/>
    <w:basedOn w:val="727"/>
    <w:next w:val="727"/>
    <w:link w:val="782"/>
    <w:uiPriority w:val="11"/>
    <w:qFormat/>
    <w:pPr>
      <w:spacing w:before="200" w:after="200"/>
    </w:pPr>
    <w:rPr>
      <w:sz w:val="24"/>
      <w:szCs w:val="24"/>
    </w:rPr>
  </w:style>
  <w:style w:type="paragraph" w:styleId="754">
    <w:name w:val="footnote text"/>
    <w:basedOn w:val="727"/>
    <w:link w:val="915"/>
    <w:uiPriority w:val="99"/>
    <w:semiHidden/>
    <w:unhideWhenUsed/>
    <w:qFormat/>
    <w:pPr>
      <w:spacing w:after="40" w:line="240" w:lineRule="auto"/>
    </w:pPr>
    <w:rPr>
      <w:sz w:val="18"/>
    </w:rPr>
  </w:style>
  <w:style w:type="paragraph" w:styleId="755">
    <w:name w:val="toc 6"/>
    <w:basedOn w:val="727"/>
    <w:next w:val="727"/>
    <w:uiPriority w:val="39"/>
    <w:unhideWhenUsed/>
    <w:qFormat/>
    <w:pPr>
      <w:ind w:left="1417" w:right="0" w:firstLine="0"/>
      <w:spacing w:after="57"/>
    </w:pPr>
  </w:style>
  <w:style w:type="paragraph" w:styleId="756">
    <w:name w:val="index 9"/>
    <w:basedOn w:val="727"/>
    <w:next w:val="727"/>
    <w:uiPriority w:val="0"/>
    <w:qFormat/>
    <w:pPr>
      <w:ind w:left="1600"/>
    </w:pPr>
    <w:rPr>
      <w:rFonts w:ascii="Times New Roman" w:hAnsi="Times New Roman" w:eastAsia="宋体" w:cs="Times New Roman"/>
    </w:rPr>
  </w:style>
  <w:style w:type="paragraph" w:styleId="757">
    <w:name w:val="table of figures"/>
    <w:basedOn w:val="727"/>
    <w:next w:val="727"/>
    <w:uiPriority w:val="99"/>
    <w:unhideWhenUsed/>
    <w:qFormat/>
    <w:pPr>
      <w:spacing w:after="0" w:afterAutospacing="0"/>
    </w:pPr>
  </w:style>
  <w:style w:type="paragraph" w:styleId="758">
    <w:name w:val="toc 2"/>
    <w:basedOn w:val="727"/>
    <w:next w:val="727"/>
    <w:uiPriority w:val="39"/>
    <w:unhideWhenUsed/>
    <w:qFormat/>
    <w:pPr>
      <w:ind w:left="283" w:right="0" w:firstLine="0"/>
      <w:spacing w:after="57"/>
    </w:pPr>
  </w:style>
  <w:style w:type="paragraph" w:styleId="759">
    <w:name w:val="toc 9"/>
    <w:basedOn w:val="727"/>
    <w:next w:val="727"/>
    <w:uiPriority w:val="39"/>
    <w:unhideWhenUsed/>
    <w:qFormat/>
    <w:pPr>
      <w:ind w:left="2268" w:right="0" w:firstLine="0"/>
      <w:spacing w:after="57"/>
    </w:pPr>
  </w:style>
  <w:style w:type="paragraph" w:styleId="760">
    <w:name w:val="Normal (Web)"/>
    <w:basedOn w:val="727"/>
    <w:uiPriority w:val="0"/>
    <w:qFormat/>
    <w:pPr>
      <w:ind w:left="0" w:right="0"/>
      <w:jc w:val="left"/>
      <w:spacing w:before="0" w:beforeAutospacing="1" w:after="0" w:afterAutospacing="1"/>
    </w:pPr>
    <w:rPr>
      <w:sz w:val="24"/>
      <w:lang w:val="en-US" w:eastAsia="zh-CN" w:bidi="ar"/>
    </w:rPr>
  </w:style>
  <w:style w:type="paragraph" w:styleId="761">
    <w:name w:val="Title"/>
    <w:basedOn w:val="727"/>
    <w:next w:val="727"/>
    <w:link w:val="781"/>
    <w:uiPriority w:val="10"/>
    <w:qFormat/>
    <w:pPr>
      <w:contextualSpacing/>
      <w:spacing w:before="300" w:after="200"/>
    </w:pPr>
    <w:rPr>
      <w:sz w:val="48"/>
      <w:szCs w:val="48"/>
    </w:rPr>
  </w:style>
  <w:style w:type="paragraph" w:styleId="762">
    <w:name w:val="Body Text First Indent"/>
    <w:basedOn w:val="741"/>
    <w:next w:val="727"/>
    <w:uiPriority w:val="0"/>
    <w:qFormat/>
    <w:pPr>
      <w:ind w:firstLine="420"/>
    </w:pPr>
  </w:style>
  <w:style w:type="paragraph" w:styleId="763">
    <w:name w:val="Body Text First Indent 2"/>
    <w:basedOn w:val="742"/>
    <w:uiPriority w:val="0"/>
    <w:qFormat/>
    <w:pPr>
      <w:ind w:firstLine="420"/>
      <w:jc w:val="both"/>
      <w:spacing w:after="0"/>
      <w:widowControl w:val="off"/>
      <w:tabs>
        <w:tab w:val="left" w:pos="180" w:leader="none"/>
      </w:tabs>
    </w:pPr>
    <w:rPr>
      <w:sz w:val="32"/>
      <w:szCs w:val="24"/>
    </w:rPr>
  </w:style>
  <w:style w:type="table" w:styleId="764">
    <w:name w:val="Table Grid"/>
    <w:basedOn w:val="73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basedOn w:val="736"/>
    <w:uiPriority w:val="99"/>
    <w:semiHidden/>
    <w:unhideWhenUsed/>
    <w:qFormat/>
    <w:rPr>
      <w:vertAlign w:val="superscript"/>
    </w:rPr>
  </w:style>
  <w:style w:type="character" w:styleId="766">
    <w:name w:val="page number"/>
    <w:basedOn w:val="736"/>
    <w:uiPriority w:val="0"/>
    <w:qFormat/>
  </w:style>
  <w:style w:type="character" w:styleId="767">
    <w:name w:val="Hyperlink"/>
    <w:uiPriority w:val="99"/>
    <w:unhideWhenUsed/>
    <w:qFormat/>
    <w:rPr>
      <w:color w:val="0026e5" w:themeColor="hyperlink"/>
      <w:u w:val="single"/>
      <w14:textFill>
        <w14:solidFill>
          <w14:schemeClr w14:val="hlink"/>
        </w14:solidFill>
      </w14:textFill>
    </w:rPr>
  </w:style>
  <w:style w:type="character" w:styleId="768">
    <w:name w:val="footnote reference"/>
    <w:basedOn w:val="736"/>
    <w:uiPriority w:val="99"/>
    <w:unhideWhenUsed/>
    <w:qFormat/>
    <w:rPr>
      <w:vertAlign w:val="superscript"/>
    </w:rPr>
  </w:style>
  <w:style w:type="paragraph" w:styleId="769" w:customStyle="1">
    <w:name w:val="目录 11"/>
    <w:basedOn w:val="727"/>
    <w:next w:val="727"/>
    <w:uiPriority w:val="39"/>
    <w:qFormat/>
    <w:pPr>
      <w:jc w:val="left"/>
      <w:spacing w:before="120" w:after="120" w:line="400" w:lineRule="exact"/>
      <w:tabs>
        <w:tab w:val="right" w:pos="8720" w:leader="dot"/>
      </w:tabs>
    </w:pPr>
    <w:rPr>
      <w:rFonts w:ascii="宋体" w:hAnsi="宋体"/>
      <w:caps/>
      <w:sz w:val="24"/>
    </w:rPr>
  </w:style>
  <w:style w:type="character" w:styleId="770" w:customStyle="1">
    <w:name w:val="Heading 1 Char"/>
    <w:basedOn w:val="736"/>
    <w:uiPriority w:val="9"/>
    <w:qFormat/>
    <w:rPr>
      <w:rFonts w:ascii="Arial" w:hAnsi="Arial" w:eastAsia="Arial" w:cs="Arial"/>
      <w:sz w:val="40"/>
      <w:szCs w:val="40"/>
    </w:rPr>
  </w:style>
  <w:style w:type="character" w:styleId="771" w:customStyle="1">
    <w:name w:val="Heading 2 Char"/>
    <w:basedOn w:val="736"/>
    <w:uiPriority w:val="9"/>
    <w:qFormat/>
    <w:rPr>
      <w:rFonts w:ascii="Arial" w:hAnsi="Arial" w:eastAsia="Arial" w:cs="Arial"/>
      <w:sz w:val="34"/>
    </w:rPr>
  </w:style>
  <w:style w:type="character" w:styleId="772" w:customStyle="1">
    <w:name w:val="Heading 3 Char"/>
    <w:basedOn w:val="736"/>
    <w:uiPriority w:val="9"/>
    <w:qFormat/>
    <w:rPr>
      <w:rFonts w:ascii="Arial" w:hAnsi="Arial" w:eastAsia="Arial" w:cs="Arial"/>
      <w:sz w:val="30"/>
      <w:szCs w:val="30"/>
    </w:rPr>
  </w:style>
  <w:style w:type="character" w:styleId="773" w:customStyle="1">
    <w:name w:val="Heading 4 Char"/>
    <w:basedOn w:val="736"/>
    <w:uiPriority w:val="9"/>
    <w:qFormat/>
    <w:rPr>
      <w:rFonts w:ascii="Arial" w:hAnsi="Arial" w:eastAsia="Arial" w:cs="Arial"/>
      <w:b/>
      <w:bCs/>
      <w:sz w:val="26"/>
      <w:szCs w:val="26"/>
    </w:rPr>
  </w:style>
  <w:style w:type="character" w:styleId="774" w:customStyle="1">
    <w:name w:val="Heading 5 Char"/>
    <w:basedOn w:val="736"/>
    <w:link w:val="731"/>
    <w:uiPriority w:val="9"/>
    <w:qFormat/>
    <w:rPr>
      <w:rFonts w:ascii="Arial" w:hAnsi="Arial" w:eastAsia="Arial" w:cs="Arial"/>
      <w:b/>
      <w:bCs/>
      <w:sz w:val="24"/>
      <w:szCs w:val="24"/>
    </w:rPr>
  </w:style>
  <w:style w:type="character" w:styleId="775" w:customStyle="1">
    <w:name w:val="Heading 6 Char"/>
    <w:basedOn w:val="736"/>
    <w:link w:val="732"/>
    <w:uiPriority w:val="9"/>
    <w:qFormat/>
    <w:rPr>
      <w:rFonts w:ascii="Arial" w:hAnsi="Arial" w:eastAsia="Arial" w:cs="Arial"/>
      <w:b/>
      <w:bCs/>
      <w:sz w:val="22"/>
      <w:szCs w:val="22"/>
    </w:rPr>
  </w:style>
  <w:style w:type="character" w:styleId="776" w:customStyle="1">
    <w:name w:val="Heading 7 Char"/>
    <w:basedOn w:val="736"/>
    <w:link w:val="733"/>
    <w:uiPriority w:val="9"/>
    <w:qFormat/>
    <w:rPr>
      <w:rFonts w:ascii="Arial" w:hAnsi="Arial" w:eastAsia="Arial" w:cs="Arial"/>
      <w:b/>
      <w:bCs/>
      <w:i/>
      <w:iCs/>
      <w:sz w:val="22"/>
      <w:szCs w:val="22"/>
    </w:rPr>
  </w:style>
  <w:style w:type="character" w:styleId="777" w:customStyle="1">
    <w:name w:val="Heading 8 Char"/>
    <w:basedOn w:val="736"/>
    <w:link w:val="734"/>
    <w:uiPriority w:val="9"/>
    <w:qFormat/>
    <w:rPr>
      <w:rFonts w:ascii="Arial" w:hAnsi="Arial" w:eastAsia="Arial" w:cs="Arial"/>
      <w:i/>
      <w:iCs/>
      <w:sz w:val="22"/>
      <w:szCs w:val="22"/>
    </w:rPr>
  </w:style>
  <w:style w:type="character" w:styleId="778" w:customStyle="1">
    <w:name w:val="Heading 9 Char"/>
    <w:basedOn w:val="736"/>
    <w:link w:val="735"/>
    <w:uiPriority w:val="9"/>
    <w:qFormat/>
    <w:rPr>
      <w:rFonts w:ascii="Arial" w:hAnsi="Arial" w:eastAsia="Arial" w:cs="Arial"/>
      <w:i/>
      <w:iCs/>
      <w:sz w:val="21"/>
      <w:szCs w:val="21"/>
    </w:rPr>
  </w:style>
  <w:style w:type="paragraph" w:styleId="779">
    <w:name w:val="List Paragraph"/>
    <w:basedOn w:val="727"/>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basedOn w:val="736"/>
    <w:link w:val="761"/>
    <w:uiPriority w:val="10"/>
    <w:qFormat/>
    <w:rPr>
      <w:sz w:val="48"/>
      <w:szCs w:val="48"/>
    </w:rPr>
  </w:style>
  <w:style w:type="character" w:styleId="782" w:customStyle="1">
    <w:name w:val="Subtitle Char"/>
    <w:basedOn w:val="736"/>
    <w:link w:val="753"/>
    <w:uiPriority w:val="11"/>
    <w:qFormat/>
    <w:rPr>
      <w:sz w:val="24"/>
      <w:szCs w:val="24"/>
    </w:rPr>
  </w:style>
  <w:style w:type="paragraph" w:styleId="783">
    <w:name w:val="Quote"/>
    <w:basedOn w:val="727"/>
    <w:next w:val="727"/>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27"/>
    <w:next w:val="72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basedOn w:val="736"/>
    <w:uiPriority w:val="99"/>
    <w:qFormat/>
  </w:style>
  <w:style w:type="character" w:styleId="788" w:customStyle="1">
    <w:name w:val="Footer Char"/>
    <w:basedOn w:val="736"/>
    <w:uiPriority w:val="99"/>
    <w:qFormat/>
  </w:style>
  <w:style w:type="character" w:styleId="789" w:customStyle="1">
    <w:name w:val="Caption Char"/>
    <w:uiPriority w:val="99"/>
    <w:qFormat/>
  </w:style>
  <w:style w:type="table" w:styleId="790"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9"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0"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1"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2"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3"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4"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6"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7"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8"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9"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0"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1"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7"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2"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4"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5"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6"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7"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8"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9"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6"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8"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9"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0"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1"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2"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3"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2"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3"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4"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5"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6"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7"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3"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4"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5"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6"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7"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8"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0"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1"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2"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3"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4"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5" w:customStyle="1">
    <w:name w:val="Footnote Text Char"/>
    <w:link w:val="754"/>
    <w:uiPriority w:val="99"/>
    <w:qFormat/>
    <w:rPr>
      <w:sz w:val="18"/>
    </w:rPr>
  </w:style>
  <w:style w:type="character" w:styleId="916" w:customStyle="1">
    <w:name w:val="Endnote Text Char"/>
    <w:link w:val="748"/>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正文文本1"/>
    <w:basedOn w:val="727"/>
    <w:next w:val="919"/>
    <w:uiPriority w:val="0"/>
    <w:qFormat/>
    <w:rPr>
      <w:rFonts w:ascii="楷体_GB2312" w:hAnsi="Arial" w:eastAsia="楷体_GB2312"/>
      <w:sz w:val="28"/>
      <w:szCs w:val="28"/>
    </w:rPr>
  </w:style>
  <w:style w:type="paragraph" w:styleId="919" w:customStyle="1">
    <w:name w:val="正文缩进1"/>
    <w:basedOn w:val="727"/>
    <w:next w:val="727"/>
    <w:uiPriority w:val="0"/>
    <w:qFormat/>
    <w:pPr>
      <w:ind w:firstLine="420"/>
    </w:pPr>
  </w:style>
  <w:style w:type="paragraph" w:styleId="920" w:customStyle="1">
    <w:name w:val="Default"/>
    <w:basedOn w:val="727"/>
    <w:uiPriority w:val="0"/>
    <w:semiHidden/>
    <w:qFormat/>
    <w:pPr>
      <w:jc w:val="left"/>
    </w:pPr>
    <w:rPr>
      <w:rFonts w:ascii="宋体" w:hAnsi="Calibri" w:cs="宋体"/>
      <w:color w:val="000000"/>
      <w:sz w:val="24"/>
    </w:rPr>
  </w:style>
  <w:style w:type="paragraph" w:styleId="921"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922" w:customStyle="1">
    <w:name w:val="Heading 4"/>
    <w:basedOn w:val="727"/>
    <w:next w:val="727"/>
    <w:uiPriority w:val="0"/>
    <w:qFormat/>
    <w:pPr>
      <w:jc w:val="center"/>
      <w:keepNext/>
      <w:outlineLvl w:val="3"/>
    </w:pPr>
    <w:rPr>
      <w:rFonts w:eastAsia="新宋体"/>
      <w:sz w:val="30"/>
      <w:szCs w:val="21"/>
    </w:rPr>
  </w:style>
  <w:style w:type="paragraph" w:styleId="923" w:customStyle="1">
    <w:name w:val="p0"/>
    <w:basedOn w:val="727"/>
    <w:uiPriority w:val="0"/>
    <w:qFormat/>
    <w:pPr>
      <w:jc w:val="left"/>
      <w:spacing w:before="100" w:beforeAutospacing="1" w:after="100" w:afterAutospacing="1"/>
      <w:widowControl/>
    </w:pPr>
    <w:rPr>
      <w:rFonts w:ascii="宋体" w:hAnsi="宋体" w:cs="宋体"/>
      <w:sz w:val="24"/>
      <w:szCs w:val="24"/>
    </w:rPr>
  </w:style>
  <w:style w:type="paragraph" w:styleId="924" w:customStyle="1">
    <w:name w:val="正文1"/>
    <w:basedOn w:val="727"/>
    <w:uiPriority w:val="0"/>
    <w:qFormat/>
    <w:pPr>
      <w:contextualSpacing/>
      <w:ind w:firstLine="200"/>
      <w:jc w:val="left"/>
      <w:spacing w:before="120" w:after="120"/>
      <w:widowControl/>
    </w:pPr>
    <w:rPr>
      <w:rFonts w:ascii="Calibri" w:hAnsi="Calibri" w:eastAsia="Adobe 仿宋 Std R"/>
    </w:rPr>
  </w:style>
  <w:style w:type="paragraph" w:styleId="925" w:customStyle="1">
    <w:name w:val="Char"/>
    <w:basedOn w:val="727"/>
    <w:uiPriority w:val="0"/>
    <w:qFormat/>
    <w:pPr>
      <w:ind w:firstLine="200"/>
      <w:tabs>
        <w:tab w:val="left" w:pos="360" w:leader="none"/>
      </w:tabs>
    </w:pPr>
    <w:rPr>
      <w:sz w:val="28"/>
      <w:szCs w:val="30"/>
    </w:rPr>
  </w:style>
  <w:style w:type="paragraph" w:styleId="926"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927" w:customStyle="1">
    <w:name w:val="纯文本1"/>
    <w:basedOn w:val="727"/>
    <w:uiPriority w:val="0"/>
    <w:qFormat/>
    <w:rPr>
      <w:rFonts w:ascii="宋体" w:hAnsi="Courier New"/>
    </w:rPr>
  </w:style>
  <w:style w:type="character" w:styleId="928" w:customStyle="1">
    <w:name w:val="font11"/>
    <w:basedOn w:val="736"/>
    <w:uiPriority w:val="99"/>
    <w:qFormat/>
    <w:rPr>
      <w:rFonts w:ascii="方正小标宋简体" w:hAnsi="方正小标宋简体" w:eastAsia="方正小标宋简体" w:cs="方正小标宋简体"/>
      <w:color w:val="000000"/>
      <w:sz w:val="36"/>
      <w:szCs w:val="36"/>
      <w:u w:val="none"/>
    </w:rPr>
  </w:style>
  <w:style w:type="paragraph" w:styleId="929" w:customStyle="1">
    <w:name w:val="Table Paragraph"/>
    <w:basedOn w:val="727"/>
    <w:uiPriority w:val="1"/>
    <w:qFormat/>
    <w:rPr>
      <w:rFonts w:ascii="宋体" w:hAnsi="宋体" w:eastAsia="宋体" w:cs="宋体"/>
      <w:lang w:val="zh-CN" w:bidi="zh-CN"/>
    </w:rPr>
  </w:style>
  <w:style w:type="numbering" w:styleId="96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朱晓进</dc:creator>
  <cp:lastModifiedBy>江苏建博工程管理咨询有限公司</cp:lastModifiedBy>
  <cp:revision>11</cp:revision>
  <dcterms:created xsi:type="dcterms:W3CDTF">2025-01-16T07:52:00Z</dcterms:created>
  <dcterms:modified xsi:type="dcterms:W3CDTF">2025-11-19T03:05:54Z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F96682F378BF4759A9DA79A716CB11BF_13</vt:lpwstr>
  </property>
  <property fmtid="{D5CDD505-2E9C-101B-9397-08002B2CF9AE}" pid="4" name="KSOTemplateDocerSaveRecord">
    <vt:lpwstr>eyJoZGlkIjoiOTVmOWE0NDg0ZGE0ODQ5MDhjZTY2YjY2ZTFhMTRkNjUiLCJ1c2VySWQiOiI2NzQ5OTU4OTMifQ==</vt:lpwstr>
  </property>
</Properties>
</file>